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26"/>
        </w:tabs>
        <w:spacing w:line="360" w:lineRule="auto"/>
        <w:jc w:val="left"/>
        <w:rPr>
          <w:rFonts w:ascii="宋体" w:hAnsi="宋体" w:eastAsia="宋体" w:cs="宋体"/>
          <w:b/>
          <w:bCs/>
          <w:sz w:val="36"/>
          <w:szCs w:val="36"/>
        </w:rPr>
      </w:pPr>
      <w:bookmarkStart w:id="0" w:name="_Hlk114244945"/>
      <w:r>
        <w:rPr>
          <w:sz w:val="36"/>
        </w:rPr>
        <w:pict>
          <v:shape id="_x0000_s2050" o:spid="_x0000_s2050" o:spt="202" type="#_x0000_t202" style="position:absolute;left:0pt;margin-left:0.65pt;margin-top:5.35pt;height:34.35pt;width:244.6pt;z-index:251661312;mso-width-relative:page;mso-height-relative:page;" fillcolor="#FFFFFF" filled="t" coordsize="21600,21600" o:gfxdata="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h136nVAAAACAEAAA8AAAAAAAAAAQAgAAAAIgAAAGRycy9kb3ducmV2LnhtbFBLAQIUABQA&#10;AAAIAIdO4kBfev4uZQIAAMMEAAAOAAAAAAAAAAEAIAAAACQBAABkcnMvZTJvRG9jLnhtbFBLBQYA&#10;AAAABgAGAFkBAAD7BQAAAAA=&#10;">
            <v:path/>
            <v:fill on="t" focussize="0,0"/>
            <v:stroke weight="0.5pt" joinstyle="round"/>
            <v:imagedata o:title=""/>
            <o:lock v:ext="edit"/>
            <v:textbox>
              <w:txbxContent>
                <w:p>
                  <w:pPr>
                    <w:jc w:val="center"/>
                    <w:rPr>
                      <w:rFonts w:ascii="黑体" w:hAnsi="黑体" w:eastAsia="黑体" w:cs="黑体"/>
                      <w:sz w:val="28"/>
                      <w:szCs w:val="28"/>
                    </w:rPr>
                  </w:pPr>
                  <w:r>
                    <w:rPr>
                      <w:rFonts w:hint="eastAsia" w:ascii="黑体" w:hAnsi="黑体" w:eastAsia="黑体" w:cs="黑体"/>
                      <w:sz w:val="28"/>
                      <w:szCs w:val="28"/>
                    </w:rPr>
                    <w:t>义务教育标准化管理特色校申报材料</w:t>
                  </w:r>
                </w:p>
              </w:txbxContent>
            </v:textbox>
          </v:shape>
        </w:pict>
      </w:r>
    </w:p>
    <w:p>
      <w:pPr>
        <w:tabs>
          <w:tab w:val="left" w:pos="426"/>
        </w:tabs>
        <w:spacing w:line="360" w:lineRule="auto"/>
        <w:ind w:firstLine="723" w:firstLineChars="200"/>
        <w:jc w:val="center"/>
        <w:rPr>
          <w:rFonts w:ascii="宋体" w:hAnsi="宋体" w:eastAsia="宋体" w:cs="宋体"/>
          <w:b/>
          <w:bCs/>
          <w:sz w:val="36"/>
          <w:szCs w:val="36"/>
        </w:rPr>
      </w:pPr>
    </w:p>
    <w:p>
      <w:pPr>
        <w:tabs>
          <w:tab w:val="left" w:pos="426"/>
        </w:tabs>
        <w:spacing w:line="360" w:lineRule="auto"/>
        <w:rPr>
          <w:rFonts w:ascii="宋体" w:hAnsi="宋体" w:eastAsia="宋体" w:cs="宋体"/>
          <w:b/>
          <w:bCs/>
          <w:sz w:val="36"/>
          <w:szCs w:val="36"/>
        </w:rPr>
      </w:pPr>
    </w:p>
    <w:p>
      <w:pPr>
        <w:tabs>
          <w:tab w:val="left" w:pos="426"/>
        </w:tabs>
        <w:spacing w:line="360" w:lineRule="auto"/>
        <w:ind w:firstLine="723" w:firstLineChars="200"/>
        <w:jc w:val="center"/>
        <w:rPr>
          <w:rFonts w:ascii="宋体" w:hAnsi="宋体" w:eastAsia="宋体" w:cs="宋体"/>
          <w:b/>
          <w:bCs/>
          <w:sz w:val="36"/>
          <w:szCs w:val="36"/>
        </w:rPr>
      </w:pPr>
    </w:p>
    <w:p>
      <w:pPr>
        <w:tabs>
          <w:tab w:val="left" w:pos="426"/>
        </w:tabs>
        <w:spacing w:line="360" w:lineRule="auto"/>
        <w:jc w:val="center"/>
        <w:rPr>
          <w:rFonts w:ascii="方正小标宋简体" w:hAnsi="黑体" w:eastAsia="方正小标宋简体" w:cs="宋体"/>
          <w:b/>
          <w:bCs/>
          <w:sz w:val="52"/>
          <w:szCs w:val="52"/>
        </w:rPr>
      </w:pPr>
      <w:r>
        <w:rPr>
          <w:rFonts w:hint="eastAsia" w:ascii="方正小标宋简体" w:hAnsi="黑体" w:eastAsia="方正小标宋简体" w:cs="宋体"/>
          <w:b/>
          <w:bCs/>
          <w:sz w:val="52"/>
          <w:szCs w:val="52"/>
        </w:rPr>
        <w:t>目标引领发展 特色铸就品牌</w:t>
      </w:r>
    </w:p>
    <w:p>
      <w:pPr>
        <w:tabs>
          <w:tab w:val="left" w:pos="426"/>
        </w:tabs>
        <w:spacing w:line="360" w:lineRule="auto"/>
        <w:ind w:firstLine="723" w:firstLineChars="200"/>
        <w:jc w:val="center"/>
        <w:rPr>
          <w:rFonts w:ascii="宋体" w:hAnsi="宋体" w:eastAsia="宋体" w:cs="宋体"/>
          <w:b/>
          <w:bCs/>
          <w:sz w:val="36"/>
          <w:szCs w:val="36"/>
        </w:rPr>
      </w:pPr>
    </w:p>
    <w:p>
      <w:pPr>
        <w:tabs>
          <w:tab w:val="left" w:pos="426"/>
        </w:tabs>
        <w:spacing w:line="360" w:lineRule="auto"/>
        <w:ind w:firstLine="723" w:firstLineChars="200"/>
        <w:jc w:val="center"/>
        <w:rPr>
          <w:rFonts w:ascii="宋体" w:hAnsi="宋体" w:eastAsia="宋体" w:cs="宋体"/>
          <w:b/>
          <w:bCs/>
          <w:sz w:val="36"/>
          <w:szCs w:val="36"/>
        </w:rPr>
      </w:pPr>
    </w:p>
    <w:p>
      <w:pPr>
        <w:tabs>
          <w:tab w:val="left" w:pos="426"/>
        </w:tabs>
        <w:spacing w:line="360" w:lineRule="auto"/>
        <w:ind w:firstLine="723" w:firstLineChars="200"/>
        <w:jc w:val="center"/>
        <w:rPr>
          <w:rFonts w:ascii="宋体" w:hAnsi="宋体" w:eastAsia="宋体" w:cs="宋体"/>
          <w:b/>
          <w:bCs/>
          <w:sz w:val="36"/>
          <w:szCs w:val="36"/>
        </w:rPr>
      </w:pPr>
    </w:p>
    <w:p>
      <w:pPr>
        <w:tabs>
          <w:tab w:val="left" w:pos="426"/>
        </w:tabs>
        <w:spacing w:line="360" w:lineRule="auto"/>
        <w:ind w:firstLine="723" w:firstLineChars="200"/>
        <w:jc w:val="center"/>
        <w:rPr>
          <w:rFonts w:ascii="宋体" w:hAnsi="宋体" w:eastAsia="宋体" w:cs="宋体"/>
          <w:b/>
          <w:bCs/>
          <w:sz w:val="36"/>
          <w:szCs w:val="36"/>
        </w:rPr>
      </w:pPr>
    </w:p>
    <w:p>
      <w:pPr>
        <w:tabs>
          <w:tab w:val="left" w:pos="426"/>
        </w:tabs>
        <w:spacing w:line="360" w:lineRule="auto"/>
        <w:ind w:firstLine="723" w:firstLineChars="200"/>
        <w:jc w:val="center"/>
        <w:rPr>
          <w:rFonts w:ascii="宋体" w:hAnsi="宋体" w:eastAsia="宋体" w:cs="宋体"/>
          <w:b/>
          <w:bCs/>
          <w:sz w:val="36"/>
          <w:szCs w:val="36"/>
        </w:rPr>
      </w:pPr>
    </w:p>
    <w:p>
      <w:pPr>
        <w:tabs>
          <w:tab w:val="left" w:pos="426"/>
        </w:tabs>
        <w:spacing w:line="360" w:lineRule="auto"/>
        <w:ind w:firstLine="723" w:firstLineChars="200"/>
        <w:jc w:val="center"/>
        <w:rPr>
          <w:rFonts w:ascii="宋体" w:hAnsi="宋体" w:eastAsia="宋体" w:cs="宋体"/>
          <w:b/>
          <w:bCs/>
          <w:sz w:val="36"/>
          <w:szCs w:val="36"/>
        </w:rPr>
      </w:pPr>
    </w:p>
    <w:p>
      <w:pPr>
        <w:tabs>
          <w:tab w:val="left" w:pos="426"/>
        </w:tabs>
        <w:spacing w:line="360" w:lineRule="auto"/>
        <w:rPr>
          <w:rFonts w:ascii="宋体" w:hAnsi="宋体" w:eastAsia="宋体" w:cs="宋体"/>
          <w:b/>
          <w:bCs/>
          <w:sz w:val="36"/>
          <w:szCs w:val="36"/>
        </w:rPr>
      </w:pPr>
    </w:p>
    <w:p>
      <w:pPr>
        <w:tabs>
          <w:tab w:val="left" w:pos="426"/>
        </w:tabs>
        <w:spacing w:line="360" w:lineRule="auto"/>
        <w:ind w:firstLine="723" w:firstLineChars="200"/>
        <w:jc w:val="center"/>
        <w:rPr>
          <w:rFonts w:ascii="宋体" w:hAnsi="宋体" w:eastAsia="宋体" w:cs="宋体"/>
          <w:b/>
          <w:bCs/>
          <w:sz w:val="36"/>
          <w:szCs w:val="36"/>
        </w:rPr>
      </w:pPr>
    </w:p>
    <w:p>
      <w:pPr>
        <w:tabs>
          <w:tab w:val="left" w:pos="426"/>
        </w:tabs>
        <w:spacing w:line="360" w:lineRule="auto"/>
        <w:ind w:firstLine="880" w:firstLineChars="200"/>
        <w:jc w:val="center"/>
        <w:rPr>
          <w:rFonts w:ascii="黑体" w:hAnsi="黑体" w:eastAsia="黑体" w:cs="宋体"/>
          <w:bCs/>
          <w:sz w:val="44"/>
          <w:szCs w:val="44"/>
        </w:rPr>
      </w:pPr>
    </w:p>
    <w:p>
      <w:pPr>
        <w:tabs>
          <w:tab w:val="left" w:pos="426"/>
        </w:tabs>
        <w:spacing w:line="360" w:lineRule="auto"/>
        <w:ind w:firstLine="880" w:firstLineChars="200"/>
        <w:jc w:val="center"/>
        <w:rPr>
          <w:rFonts w:ascii="黑体" w:hAnsi="黑体" w:eastAsia="黑体" w:cs="宋体"/>
          <w:bCs/>
          <w:sz w:val="44"/>
          <w:szCs w:val="44"/>
        </w:rPr>
      </w:pPr>
    </w:p>
    <w:p>
      <w:pPr>
        <w:tabs>
          <w:tab w:val="left" w:pos="426"/>
        </w:tabs>
        <w:spacing w:line="360" w:lineRule="auto"/>
        <w:jc w:val="center"/>
        <w:rPr>
          <w:rFonts w:ascii="黑体" w:hAnsi="黑体" w:eastAsia="黑体" w:cs="宋体"/>
          <w:bCs/>
          <w:sz w:val="44"/>
          <w:szCs w:val="44"/>
        </w:rPr>
      </w:pPr>
      <w:r>
        <w:rPr>
          <w:rFonts w:hint="eastAsia" w:ascii="黑体" w:hAnsi="黑体" w:eastAsia="黑体" w:cs="宋体"/>
          <w:bCs/>
          <w:sz w:val="44"/>
          <w:szCs w:val="44"/>
        </w:rPr>
        <w:t>平顶山市第五中学</w:t>
      </w:r>
    </w:p>
    <w:p>
      <w:pPr>
        <w:tabs>
          <w:tab w:val="left" w:pos="426"/>
        </w:tabs>
        <w:spacing w:line="360" w:lineRule="auto"/>
        <w:jc w:val="center"/>
        <w:rPr>
          <w:rFonts w:ascii="黑体" w:hAnsi="黑体" w:eastAsia="黑体" w:cs="宋体"/>
          <w:bCs/>
          <w:sz w:val="44"/>
          <w:szCs w:val="44"/>
        </w:rPr>
      </w:pPr>
      <w:r>
        <w:rPr>
          <w:rFonts w:hint="eastAsia" w:ascii="黑体" w:hAnsi="黑体" w:eastAsia="黑体" w:cs="宋体"/>
          <w:bCs/>
          <w:sz w:val="44"/>
          <w:szCs w:val="44"/>
        </w:rPr>
        <w:t>202</w:t>
      </w:r>
      <w:r>
        <w:rPr>
          <w:rFonts w:ascii="黑体" w:hAnsi="黑体" w:eastAsia="黑体" w:cs="宋体"/>
          <w:bCs/>
          <w:sz w:val="44"/>
          <w:szCs w:val="44"/>
        </w:rPr>
        <w:t>2</w:t>
      </w:r>
      <w:r>
        <w:rPr>
          <w:rFonts w:hint="eastAsia" w:ascii="黑体" w:hAnsi="黑体" w:eastAsia="黑体" w:cs="宋体"/>
          <w:bCs/>
          <w:sz w:val="44"/>
          <w:szCs w:val="44"/>
        </w:rPr>
        <w:t>年</w:t>
      </w:r>
      <w:r>
        <w:rPr>
          <w:rFonts w:ascii="黑体" w:hAnsi="黑体" w:eastAsia="黑体" w:cs="宋体"/>
          <w:bCs/>
          <w:sz w:val="44"/>
          <w:szCs w:val="44"/>
        </w:rPr>
        <w:t>9</w:t>
      </w:r>
      <w:r>
        <w:rPr>
          <w:rFonts w:hint="eastAsia" w:ascii="黑体" w:hAnsi="黑体" w:eastAsia="黑体" w:cs="宋体"/>
          <w:bCs/>
          <w:sz w:val="44"/>
          <w:szCs w:val="44"/>
        </w:rPr>
        <w:t>月</w:t>
      </w:r>
      <w:r>
        <w:rPr>
          <w:rFonts w:ascii="黑体" w:hAnsi="黑体" w:eastAsia="黑体" w:cs="宋体"/>
          <w:bCs/>
          <w:sz w:val="44"/>
          <w:szCs w:val="44"/>
        </w:rPr>
        <w:t>17</w:t>
      </w:r>
      <w:r>
        <w:rPr>
          <w:rFonts w:hint="eastAsia" w:ascii="黑体" w:hAnsi="黑体" w:eastAsia="黑体" w:cs="宋体"/>
          <w:bCs/>
          <w:sz w:val="44"/>
          <w:szCs w:val="44"/>
        </w:rPr>
        <w:t>日</w:t>
      </w:r>
    </w:p>
    <w:p>
      <w:pPr>
        <w:tabs>
          <w:tab w:val="left" w:pos="426"/>
        </w:tabs>
        <w:spacing w:line="360" w:lineRule="auto"/>
        <w:ind w:firstLine="880" w:firstLineChars="200"/>
        <w:jc w:val="center"/>
        <w:rPr>
          <w:rFonts w:ascii="黑体" w:hAnsi="黑体" w:eastAsia="黑体" w:cs="宋体"/>
          <w:bCs/>
          <w:sz w:val="44"/>
          <w:szCs w:val="44"/>
        </w:rPr>
      </w:pPr>
    </w:p>
    <w:p>
      <w:pPr>
        <w:tabs>
          <w:tab w:val="left" w:pos="426"/>
        </w:tabs>
        <w:spacing w:line="360" w:lineRule="auto"/>
        <w:ind w:firstLine="880" w:firstLineChars="200"/>
        <w:jc w:val="center"/>
        <w:rPr>
          <w:rFonts w:ascii="黑体" w:hAnsi="黑体" w:eastAsia="黑体" w:cs="宋体"/>
          <w:bCs/>
          <w:sz w:val="44"/>
          <w:szCs w:val="44"/>
        </w:rPr>
      </w:pPr>
    </w:p>
    <w:p>
      <w:pPr>
        <w:tabs>
          <w:tab w:val="left" w:pos="426"/>
        </w:tabs>
        <w:spacing w:line="360" w:lineRule="auto"/>
        <w:ind w:firstLine="880" w:firstLineChars="200"/>
        <w:jc w:val="center"/>
        <w:rPr>
          <w:rFonts w:ascii="黑体" w:hAnsi="黑体" w:eastAsia="黑体" w:cs="宋体"/>
          <w:bCs/>
          <w:sz w:val="44"/>
          <w:szCs w:val="44"/>
        </w:rPr>
      </w:pPr>
    </w:p>
    <w:p>
      <w:pPr>
        <w:tabs>
          <w:tab w:val="left" w:pos="426"/>
        </w:tabs>
        <w:spacing w:line="360" w:lineRule="auto"/>
        <w:rPr>
          <w:rFonts w:ascii="宋体" w:hAnsi="宋体" w:eastAsia="宋体" w:cs="宋体"/>
          <w:b/>
          <w:bCs/>
          <w:sz w:val="36"/>
          <w:szCs w:val="36"/>
        </w:rPr>
      </w:pPr>
    </w:p>
    <w:p>
      <w:pPr>
        <w:tabs>
          <w:tab w:val="left" w:pos="426"/>
        </w:tabs>
        <w:spacing w:line="360" w:lineRule="auto"/>
        <w:jc w:val="center"/>
        <w:rPr>
          <w:rFonts w:ascii="黑体" w:hAnsi="黑体" w:eastAsia="黑体" w:cs="宋体"/>
          <w:b/>
          <w:bCs/>
          <w:sz w:val="44"/>
          <w:szCs w:val="44"/>
        </w:rPr>
      </w:pPr>
      <w:r>
        <w:rPr>
          <w:rFonts w:hint="eastAsia" w:ascii="黑体" w:hAnsi="黑体" w:eastAsia="黑体" w:cs="宋体"/>
          <w:b/>
          <w:bCs/>
          <w:sz w:val="44"/>
          <w:szCs w:val="44"/>
        </w:rPr>
        <w:t>平顶山市第五中学</w:t>
      </w:r>
    </w:p>
    <w:p>
      <w:pPr>
        <w:tabs>
          <w:tab w:val="left" w:pos="426"/>
        </w:tabs>
        <w:spacing w:line="360" w:lineRule="auto"/>
        <w:jc w:val="center"/>
        <w:rPr>
          <w:rFonts w:ascii="黑体" w:hAnsi="黑体" w:eastAsia="黑体" w:cs="宋体"/>
          <w:b/>
          <w:bCs/>
          <w:sz w:val="44"/>
          <w:szCs w:val="44"/>
        </w:rPr>
      </w:pPr>
      <w:r>
        <w:rPr>
          <w:rFonts w:hint="eastAsia" w:ascii="黑体" w:hAnsi="黑体" w:eastAsia="黑体" w:cs="宋体"/>
          <w:b/>
          <w:bCs/>
          <w:sz w:val="44"/>
          <w:szCs w:val="44"/>
        </w:rPr>
        <w:t>义务教育标准化管理特色校申报材料</w:t>
      </w:r>
    </w:p>
    <w:p>
      <w:pPr>
        <w:spacing w:line="360" w:lineRule="auto"/>
        <w:ind w:firstLine="482" w:firstLineChars="200"/>
        <w:rPr>
          <w:rFonts w:ascii="宋体" w:hAnsi="宋体" w:eastAsia="宋体" w:cs="宋体"/>
          <w:b/>
          <w:bCs/>
          <w:sz w:val="24"/>
          <w:szCs w:val="24"/>
        </w:rPr>
      </w:pPr>
    </w:p>
    <w:p>
      <w:pPr>
        <w:spacing w:line="360" w:lineRule="auto"/>
        <w:ind w:firstLine="562" w:firstLineChars="200"/>
        <w:rPr>
          <w:rFonts w:ascii="仿宋" w:hAnsi="仿宋" w:eastAsia="仿宋" w:cs="宋体"/>
          <w:b/>
          <w:bCs/>
          <w:sz w:val="28"/>
          <w:szCs w:val="28"/>
        </w:rPr>
      </w:pPr>
      <w:r>
        <w:rPr>
          <w:rFonts w:hint="eastAsia" w:ascii="仿宋" w:hAnsi="仿宋" w:eastAsia="仿宋" w:cs="宋体"/>
          <w:b/>
          <w:bCs/>
          <w:sz w:val="28"/>
          <w:szCs w:val="28"/>
        </w:rPr>
        <w:t>一、学校基本情况</w:t>
      </w:r>
    </w:p>
    <w:p>
      <w:pPr>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平顶山市第五中学成立于2017年9月，是平顶山市城乡一体化示范区全额拨款建设的一所公办初级中学，坐落于新城区龙翔大道和菊香路交叉口东北角，占地5</w:t>
      </w:r>
      <w:r>
        <w:rPr>
          <w:rFonts w:ascii="仿宋" w:hAnsi="仿宋" w:eastAsia="仿宋" w:cs="宋体"/>
          <w:sz w:val="28"/>
          <w:szCs w:val="28"/>
        </w:rPr>
        <w:t>4</w:t>
      </w:r>
      <w:r>
        <w:rPr>
          <w:rFonts w:hint="eastAsia" w:ascii="仿宋" w:hAnsi="仿宋" w:eastAsia="仿宋" w:cs="宋体"/>
          <w:sz w:val="28"/>
          <w:szCs w:val="28"/>
        </w:rPr>
        <w:t>亩，建筑面积1798</w:t>
      </w:r>
      <w:r>
        <w:rPr>
          <w:rFonts w:ascii="仿宋" w:hAnsi="仿宋" w:eastAsia="仿宋" w:cs="宋体"/>
          <w:sz w:val="28"/>
          <w:szCs w:val="28"/>
        </w:rPr>
        <w:t>2</w:t>
      </w:r>
      <w:r>
        <w:rPr>
          <w:rFonts w:hint="eastAsia" w:ascii="仿宋" w:hAnsi="仿宋" w:eastAsia="仿宋" w:cs="宋体"/>
          <w:sz w:val="28"/>
          <w:szCs w:val="28"/>
        </w:rPr>
        <w:t>平方米。</w:t>
      </w:r>
    </w:p>
    <w:p>
      <w:pPr>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学校</w:t>
      </w:r>
      <w:r>
        <w:rPr>
          <w:rFonts w:hint="eastAsia" w:ascii="仿宋" w:hAnsi="仿宋" w:eastAsia="仿宋"/>
          <w:color w:val="000000"/>
          <w:sz w:val="28"/>
          <w:szCs w:val="28"/>
        </w:rPr>
        <w:t>配有现代化的智慧黑板，</w:t>
      </w:r>
      <w:r>
        <w:rPr>
          <w:rFonts w:hint="eastAsia" w:ascii="仿宋" w:hAnsi="仿宋" w:eastAsia="仿宋" w:cs="宋体"/>
          <w:color w:val="000000"/>
          <w:kern w:val="0"/>
          <w:sz w:val="28"/>
          <w:szCs w:val="28"/>
        </w:rPr>
        <w:t>校园网络全覆盖。阅览室、图书馆、计算机教室、音乐、舞蹈、美术教室、心理咨询室、录课教室等现代化教育设施一应齐全</w:t>
      </w:r>
      <w:r>
        <w:rPr>
          <w:rFonts w:hint="eastAsia" w:ascii="仿宋" w:hAnsi="仿宋" w:eastAsia="仿宋" w:cs="宋体"/>
          <w:sz w:val="28"/>
          <w:szCs w:val="28"/>
        </w:rPr>
        <w:t>。</w:t>
      </w:r>
    </w:p>
    <w:p>
      <w:pPr>
        <w:spacing w:line="360" w:lineRule="auto"/>
        <w:ind w:firstLine="560" w:firstLineChars="200"/>
        <w:rPr>
          <w:rFonts w:ascii="仿宋" w:hAnsi="仿宋" w:eastAsia="仿宋" w:cs="宋体"/>
          <w:color w:val="000000" w:themeColor="text1"/>
          <w:sz w:val="28"/>
          <w:szCs w:val="28"/>
        </w:rPr>
      </w:pPr>
      <w:r>
        <w:rPr>
          <w:rFonts w:hint="eastAsia" w:ascii="仿宋" w:hAnsi="仿宋" w:eastAsia="仿宋" w:cs="宋体"/>
          <w:sz w:val="28"/>
          <w:szCs w:val="28"/>
        </w:rPr>
        <w:t>学校环境优美，师资力量雄厚。</w:t>
      </w:r>
      <w:r>
        <w:rPr>
          <w:rFonts w:hint="eastAsia" w:ascii="仿宋" w:hAnsi="仿宋" w:eastAsia="仿宋" w:cs="宋体"/>
          <w:color w:val="000000" w:themeColor="text1"/>
          <w:sz w:val="28"/>
          <w:szCs w:val="28"/>
        </w:rPr>
        <w:t>学校全年级1</w:t>
      </w:r>
      <w:r>
        <w:rPr>
          <w:rFonts w:ascii="仿宋" w:hAnsi="仿宋" w:eastAsia="仿宋" w:cs="宋体"/>
          <w:color w:val="000000" w:themeColor="text1"/>
          <w:sz w:val="28"/>
          <w:szCs w:val="28"/>
        </w:rPr>
        <w:t>6</w:t>
      </w:r>
      <w:r>
        <w:rPr>
          <w:rFonts w:hint="eastAsia" w:ascii="仿宋" w:hAnsi="仿宋" w:eastAsia="仿宋" w:cs="宋体"/>
          <w:color w:val="000000" w:themeColor="text1"/>
          <w:sz w:val="28"/>
          <w:szCs w:val="28"/>
        </w:rPr>
        <w:t>个教学班，有</w:t>
      </w:r>
      <w:r>
        <w:rPr>
          <w:rFonts w:ascii="仿宋" w:hAnsi="仿宋" w:eastAsia="仿宋" w:cs="宋体"/>
          <w:color w:val="000000" w:themeColor="text1"/>
          <w:sz w:val="28"/>
          <w:szCs w:val="28"/>
        </w:rPr>
        <w:t>640</w:t>
      </w:r>
      <w:r>
        <w:rPr>
          <w:rFonts w:hint="eastAsia" w:ascii="仿宋" w:hAnsi="仿宋" w:eastAsia="仿宋" w:cs="宋体"/>
          <w:color w:val="000000" w:themeColor="text1"/>
          <w:sz w:val="28"/>
          <w:szCs w:val="28"/>
        </w:rPr>
        <w:t>名学生，6</w:t>
      </w:r>
      <w:r>
        <w:rPr>
          <w:rFonts w:ascii="仿宋" w:hAnsi="仿宋" w:eastAsia="仿宋" w:cs="宋体"/>
          <w:color w:val="000000" w:themeColor="text1"/>
          <w:sz w:val="28"/>
          <w:szCs w:val="28"/>
        </w:rPr>
        <w:t>6</w:t>
      </w:r>
      <w:r>
        <w:rPr>
          <w:rFonts w:hint="eastAsia" w:ascii="仿宋" w:hAnsi="仿宋" w:eastAsia="仿宋" w:cs="宋体"/>
          <w:color w:val="000000" w:themeColor="text1"/>
          <w:sz w:val="28"/>
          <w:szCs w:val="28"/>
        </w:rPr>
        <w:t>名教师，教师全部为本科以上学历，省级骨干教师3人，市级骨干教师</w:t>
      </w:r>
      <w:r>
        <w:rPr>
          <w:rFonts w:ascii="仿宋" w:hAnsi="仿宋" w:eastAsia="仿宋" w:cs="宋体"/>
          <w:color w:val="000000" w:themeColor="text1"/>
          <w:sz w:val="28"/>
          <w:szCs w:val="28"/>
        </w:rPr>
        <w:t>11</w:t>
      </w:r>
      <w:r>
        <w:rPr>
          <w:rFonts w:hint="eastAsia" w:ascii="仿宋" w:hAnsi="仿宋" w:eastAsia="仿宋" w:cs="宋体"/>
          <w:color w:val="000000" w:themeColor="text1"/>
          <w:sz w:val="28"/>
          <w:szCs w:val="28"/>
        </w:rPr>
        <w:t>人，省级优质课教师</w:t>
      </w:r>
      <w:r>
        <w:rPr>
          <w:rFonts w:ascii="仿宋" w:hAnsi="仿宋" w:eastAsia="仿宋" w:cs="宋体"/>
          <w:color w:val="000000" w:themeColor="text1"/>
          <w:sz w:val="28"/>
          <w:szCs w:val="28"/>
        </w:rPr>
        <w:t>2</w:t>
      </w:r>
      <w:r>
        <w:rPr>
          <w:rFonts w:hint="eastAsia" w:ascii="仿宋" w:hAnsi="仿宋" w:eastAsia="仿宋" w:cs="宋体"/>
          <w:color w:val="000000" w:themeColor="text1"/>
          <w:sz w:val="28"/>
          <w:szCs w:val="28"/>
        </w:rPr>
        <w:t>人，市、区级优质课教师3</w:t>
      </w:r>
      <w:r>
        <w:rPr>
          <w:rFonts w:ascii="仿宋" w:hAnsi="仿宋" w:eastAsia="仿宋" w:cs="宋体"/>
          <w:color w:val="000000" w:themeColor="text1"/>
          <w:sz w:val="28"/>
          <w:szCs w:val="28"/>
        </w:rPr>
        <w:t>1</w:t>
      </w:r>
      <w:r>
        <w:rPr>
          <w:rFonts w:hint="eastAsia" w:ascii="仿宋" w:hAnsi="仿宋" w:eastAsia="仿宋" w:cs="宋体"/>
          <w:color w:val="000000" w:themeColor="text1"/>
          <w:sz w:val="28"/>
          <w:szCs w:val="28"/>
        </w:rPr>
        <w:t>人，省级名师</w:t>
      </w:r>
      <w:r>
        <w:rPr>
          <w:rFonts w:ascii="仿宋" w:hAnsi="仿宋" w:eastAsia="仿宋" w:cs="宋体"/>
          <w:color w:val="000000" w:themeColor="text1"/>
          <w:sz w:val="28"/>
          <w:szCs w:val="28"/>
        </w:rPr>
        <w:t>1</w:t>
      </w:r>
      <w:r>
        <w:rPr>
          <w:rFonts w:hint="eastAsia" w:ascii="仿宋" w:hAnsi="仿宋" w:eastAsia="仿宋" w:cs="宋体"/>
          <w:color w:val="000000" w:themeColor="text1"/>
          <w:sz w:val="28"/>
          <w:szCs w:val="28"/>
        </w:rPr>
        <w:t>人。</w:t>
      </w:r>
    </w:p>
    <w:p>
      <w:pPr>
        <w:spacing w:line="360" w:lineRule="auto"/>
        <w:jc w:val="center"/>
        <w:rPr>
          <w:rFonts w:ascii="仿宋_GB2312" w:hAnsi="仿宋" w:cs="宋体"/>
          <w:color w:val="000000" w:themeColor="text1"/>
          <w:sz w:val="32"/>
          <w:szCs w:val="32"/>
        </w:rPr>
      </w:pPr>
      <w:r>
        <w:drawing>
          <wp:inline distT="0" distB="0" distL="0" distR="0">
            <wp:extent cx="5038725" cy="32391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t="5925" b="2788"/>
                    <a:stretch>
                      <a:fillRect/>
                    </a:stretch>
                  </pic:blipFill>
                  <pic:spPr>
                    <a:xfrm>
                      <a:off x="0" y="0"/>
                      <a:ext cx="5154401" cy="3313677"/>
                    </a:xfrm>
                    <a:prstGeom prst="rect">
                      <a:avLst/>
                    </a:prstGeom>
                    <a:noFill/>
                    <a:ln>
                      <a:noFill/>
                    </a:ln>
                  </pic:spPr>
                </pic:pic>
              </a:graphicData>
            </a:graphic>
          </wp:inline>
        </w:drawing>
      </w:r>
    </w:p>
    <w:p>
      <w:pPr>
        <w:spacing w:line="360" w:lineRule="auto"/>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二、学校办学理念</w:t>
      </w:r>
    </w:p>
    <w:p>
      <w:pPr>
        <w:spacing w:line="360" w:lineRule="auto"/>
        <w:ind w:firstLine="560" w:firstLineChars="200"/>
        <w:jc w:val="left"/>
        <w:rPr>
          <w:rFonts w:ascii="仿宋" w:hAnsi="仿宋" w:eastAsia="仿宋" w:cs="等线"/>
          <w:sz w:val="28"/>
          <w:szCs w:val="28"/>
        </w:rPr>
      </w:pPr>
      <w:r>
        <w:rPr>
          <w:rFonts w:hint="eastAsia" w:ascii="仿宋" w:hAnsi="仿宋" w:eastAsia="仿宋" w:cs="宋体"/>
          <w:color w:val="000000"/>
          <w:kern w:val="0"/>
          <w:sz w:val="28"/>
          <w:szCs w:val="28"/>
        </w:rPr>
        <w:t>学校以“办好人民满意的教育”为总目标，坚持党建引领，依法治校，立德树人，创新发展。</w:t>
      </w:r>
      <w:r>
        <w:rPr>
          <w:rFonts w:hint="eastAsia" w:ascii="仿宋" w:hAnsi="仿宋" w:eastAsia="仿宋"/>
          <w:sz w:val="28"/>
          <w:szCs w:val="28"/>
        </w:rPr>
        <w:t>学校以“</w:t>
      </w:r>
      <w:r>
        <w:rPr>
          <w:rFonts w:hint="eastAsia" w:ascii="仿宋" w:hAnsi="仿宋" w:eastAsia="仿宋" w:cs="等线"/>
          <w:sz w:val="28"/>
          <w:szCs w:val="28"/>
        </w:rPr>
        <w:t>修身，齐家，治国，平天下”为核心理念，以“面向未来，面向社会”为办学方向，以“为学生的终身学习做铺垫，为学生的一生打基础”为办学宗旨，以“</w:t>
      </w:r>
      <w:r>
        <w:rPr>
          <w:rFonts w:hint="eastAsia" w:ascii="仿宋" w:hAnsi="仿宋" w:eastAsia="仿宋" w:cs="仿宋"/>
          <w:sz w:val="28"/>
          <w:szCs w:val="28"/>
        </w:rPr>
        <w:t>脚踏实地，仰望星空”为校训，以“自律自信、创新竞争”为校风，以“</w:t>
      </w:r>
      <w:r>
        <w:rPr>
          <w:rFonts w:hint="eastAsia" w:ascii="仿宋" w:hAnsi="仿宋" w:eastAsia="仿宋" w:cs="等线"/>
          <w:sz w:val="28"/>
          <w:szCs w:val="28"/>
        </w:rPr>
        <w:t>不愤不启，不悱不发</w:t>
      </w:r>
      <w:r>
        <w:rPr>
          <w:rFonts w:hint="eastAsia" w:ascii="仿宋" w:hAnsi="仿宋" w:eastAsia="仿宋" w:cs="仿宋"/>
          <w:sz w:val="28"/>
          <w:szCs w:val="28"/>
        </w:rPr>
        <w:t>”</w:t>
      </w:r>
      <w:r>
        <w:rPr>
          <w:rFonts w:hint="eastAsia" w:ascii="仿宋" w:hAnsi="仿宋" w:eastAsia="仿宋" w:cs="等线"/>
          <w:sz w:val="28"/>
          <w:szCs w:val="28"/>
        </w:rPr>
        <w:t>为教风，以</w:t>
      </w:r>
      <w:r>
        <w:rPr>
          <w:rFonts w:hint="eastAsia" w:ascii="仿宋" w:hAnsi="仿宋" w:eastAsia="仿宋" w:cs="仿宋"/>
          <w:sz w:val="28"/>
          <w:szCs w:val="28"/>
        </w:rPr>
        <w:t>“</w:t>
      </w:r>
      <w:r>
        <w:rPr>
          <w:rFonts w:hint="eastAsia" w:ascii="仿宋" w:hAnsi="仿宋" w:eastAsia="仿宋" w:cs="等线"/>
          <w:sz w:val="28"/>
          <w:szCs w:val="28"/>
        </w:rPr>
        <w:t>学而不厌，温故知新</w:t>
      </w:r>
      <w:r>
        <w:rPr>
          <w:rFonts w:hint="eastAsia" w:ascii="仿宋" w:hAnsi="仿宋" w:eastAsia="仿宋" w:cs="仿宋"/>
          <w:sz w:val="28"/>
          <w:szCs w:val="28"/>
        </w:rPr>
        <w:t>”</w:t>
      </w:r>
      <w:r>
        <w:rPr>
          <w:rFonts w:hint="eastAsia" w:ascii="仿宋" w:hAnsi="仿宋" w:eastAsia="仿宋" w:cs="等线"/>
          <w:sz w:val="28"/>
          <w:szCs w:val="28"/>
        </w:rPr>
        <w:t>为学风。</w:t>
      </w:r>
    </w:p>
    <w:p>
      <w:pPr>
        <w:spacing w:line="360" w:lineRule="auto"/>
        <w:jc w:val="center"/>
        <w:rPr>
          <w:rFonts w:ascii="仿宋" w:hAnsi="仿宋" w:eastAsia="仿宋" w:cs="等线"/>
          <w:sz w:val="28"/>
          <w:szCs w:val="28"/>
        </w:rPr>
      </w:pPr>
      <w:r>
        <w:rPr>
          <w:rFonts w:ascii="仿宋" w:hAnsi="仿宋" w:eastAsia="仿宋" w:cs="等线"/>
          <w:sz w:val="28"/>
          <w:szCs w:val="28"/>
        </w:rPr>
        <w:drawing>
          <wp:inline distT="0" distB="0" distL="0" distR="0">
            <wp:extent cx="4834255" cy="33235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858988" cy="3340802"/>
                    </a:xfrm>
                    <a:prstGeom prst="rect">
                      <a:avLst/>
                    </a:prstGeom>
                    <a:noFill/>
                    <a:ln>
                      <a:noFill/>
                    </a:ln>
                  </pic:spPr>
                </pic:pic>
              </a:graphicData>
            </a:graphic>
          </wp:inline>
        </w:drawing>
      </w:r>
    </w:p>
    <w:p>
      <w:pPr>
        <w:spacing w:line="360" w:lineRule="auto"/>
        <w:ind w:firstLine="560" w:firstLineChars="200"/>
        <w:rPr>
          <w:rFonts w:ascii="仿宋" w:hAnsi="仿宋" w:eastAsia="仿宋" w:cs="华文楷体"/>
          <w:bCs/>
          <w:sz w:val="28"/>
          <w:szCs w:val="28"/>
        </w:rPr>
      </w:pPr>
      <w:r>
        <w:rPr>
          <w:rFonts w:hint="eastAsia" w:ascii="仿宋" w:hAnsi="仿宋" w:eastAsia="仿宋" w:cs="华文楷体"/>
          <w:bCs/>
          <w:sz w:val="28"/>
          <w:szCs w:val="28"/>
        </w:rPr>
        <w:t>三、教学管理特色——目标管理</w:t>
      </w:r>
    </w:p>
    <w:p>
      <w:pPr>
        <w:pStyle w:val="14"/>
        <w:numPr>
          <w:ilvl w:val="0"/>
          <w:numId w:val="1"/>
        </w:numPr>
        <w:spacing w:line="360" w:lineRule="auto"/>
        <w:ind w:firstLineChars="0"/>
        <w:jc w:val="left"/>
        <w:rPr>
          <w:rFonts w:ascii="仿宋" w:hAnsi="仿宋" w:eastAsia="仿宋"/>
          <w:sz w:val="28"/>
          <w:szCs w:val="28"/>
        </w:rPr>
      </w:pPr>
      <w:bookmarkStart w:id="1" w:name="_Hlk114157634"/>
      <w:r>
        <w:rPr>
          <w:rFonts w:hint="eastAsia" w:ascii="仿宋" w:hAnsi="仿宋" w:eastAsia="仿宋"/>
          <w:sz w:val="28"/>
          <w:szCs w:val="28"/>
        </w:rPr>
        <w:t>规范教学管理</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建立健全能激发生长动力的制度文化和评价体系，坚持党务、校务公开，以人为本，民主管理。坚持民主集中制，定期召开校务会议，健全学校教职工（代表）大会制度，将涉及教职工切身利益及学校发展的重要事项，提交教职工（代表）大会讨论通过。学校</w:t>
      </w:r>
      <w:r>
        <w:rPr>
          <w:rFonts w:ascii="仿宋" w:hAnsi="仿宋" w:eastAsia="仿宋"/>
          <w:sz w:val="28"/>
          <w:szCs w:val="28"/>
        </w:rPr>
        <w:t>制定</w:t>
      </w:r>
      <w:r>
        <w:rPr>
          <w:rFonts w:hint="eastAsia" w:ascii="仿宋" w:hAnsi="仿宋" w:eastAsia="仿宋"/>
          <w:sz w:val="28"/>
          <w:szCs w:val="28"/>
        </w:rPr>
        <w:t>了《目标管理制度》《教学奖惩制度》《学评先评优评比方案》《奖励性绩效工资考核分配实施方案》《年级组长考核细则》</w:t>
      </w:r>
      <w:r>
        <w:rPr>
          <w:rFonts w:ascii="仿宋" w:hAnsi="仿宋" w:eastAsia="仿宋"/>
          <w:sz w:val="28"/>
          <w:szCs w:val="28"/>
        </w:rPr>
        <w:t>明确办学方向，规范学校办学行为。细化管理措施，认真客观评估办学绩效。</w:t>
      </w:r>
      <w:r>
        <w:rPr>
          <w:rFonts w:hint="eastAsia" w:ascii="仿宋" w:hAnsi="仿宋" w:eastAsia="仿宋"/>
          <w:sz w:val="28"/>
          <w:szCs w:val="28"/>
        </w:rPr>
        <w:t>由于学校管理民主透明，学校党政领导班子把全校教职工紧紧地团结在一起，关系和谐融洽。</w:t>
      </w:r>
    </w:p>
    <w:p>
      <w:pPr>
        <w:pStyle w:val="14"/>
        <w:numPr>
          <w:ilvl w:val="0"/>
          <w:numId w:val="1"/>
        </w:numPr>
        <w:spacing w:line="360" w:lineRule="auto"/>
        <w:ind w:firstLineChars="0"/>
        <w:jc w:val="left"/>
        <w:rPr>
          <w:rFonts w:ascii="仿宋" w:hAnsi="仿宋" w:eastAsia="仿宋"/>
          <w:sz w:val="28"/>
          <w:szCs w:val="28"/>
        </w:rPr>
      </w:pPr>
      <w:r>
        <w:rPr>
          <w:rFonts w:hint="eastAsia" w:ascii="仿宋" w:hAnsi="仿宋" w:eastAsia="仿宋"/>
          <w:sz w:val="28"/>
          <w:szCs w:val="28"/>
        </w:rPr>
        <w:t>目标引领发展</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以局部带动全局，以个人带动全组，以党员带动群众，实施年级长负责制。教育教学管理，班级管理，学生管理采取统一的目标管理，即目标</w:t>
      </w:r>
      <w:r>
        <w:rPr>
          <w:rFonts w:ascii="仿宋" w:hAnsi="仿宋" w:eastAsia="仿宋"/>
          <w:sz w:val="28"/>
          <w:szCs w:val="28"/>
        </w:rPr>
        <w:t>+态度（计划和制度）+方法。</w:t>
      </w:r>
    </w:p>
    <w:p>
      <w:pPr>
        <w:spacing w:line="360" w:lineRule="auto"/>
        <w:ind w:firstLine="560" w:firstLineChars="200"/>
        <w:jc w:val="left"/>
        <w:rPr>
          <w:rFonts w:ascii="仿宋" w:hAnsi="仿宋" w:eastAsia="仿宋" w:cstheme="minorEastAsia"/>
          <w:bCs/>
          <w:sz w:val="28"/>
          <w:szCs w:val="28"/>
        </w:rPr>
      </w:pPr>
      <w:r>
        <w:rPr>
          <w:rFonts w:hint="eastAsia" w:ascii="仿宋" w:hAnsi="仿宋" w:eastAsia="仿宋"/>
          <w:sz w:val="28"/>
          <w:szCs w:val="28"/>
        </w:rPr>
        <w:t>首先，有学校和年级长签订年级目标责任书，让年级中的每个班级有一个明确而统一的努力方向；然后，</w:t>
      </w:r>
      <w:r>
        <w:rPr>
          <w:rFonts w:hint="eastAsia" w:ascii="仿宋" w:hAnsi="仿宋" w:eastAsia="仿宋" w:cstheme="minorEastAsia"/>
          <w:bCs/>
          <w:color w:val="000000" w:themeColor="text1"/>
          <w:sz w:val="28"/>
          <w:szCs w:val="28"/>
        </w:rPr>
        <w:t>年级长和班主任签订班级目标责任书，</w:t>
      </w:r>
      <w:r>
        <w:rPr>
          <w:rFonts w:hint="eastAsia" w:ascii="仿宋" w:hAnsi="仿宋" w:eastAsia="仿宋" w:cstheme="minorEastAsia"/>
          <w:bCs/>
          <w:sz w:val="28"/>
          <w:szCs w:val="28"/>
        </w:rPr>
        <w:t>统一制定目标，进行公示，年级组统一制定计划制度，商定具体可行方法、措施。</w:t>
      </w:r>
    </w:p>
    <w:p>
      <w:pPr>
        <w:spacing w:line="360" w:lineRule="auto"/>
        <w:jc w:val="center"/>
        <w:rPr>
          <w:rFonts w:ascii="仿宋" w:hAnsi="仿宋" w:eastAsia="仿宋" w:cstheme="minorEastAsia"/>
          <w:bCs/>
          <w:sz w:val="28"/>
          <w:szCs w:val="28"/>
        </w:rPr>
      </w:pPr>
      <w:r>
        <w:rPr>
          <w:rFonts w:ascii="仿宋" w:hAnsi="仿宋" w:eastAsia="仿宋" w:cstheme="minorEastAsia"/>
          <w:bCs/>
          <w:sz w:val="28"/>
          <w:szCs w:val="28"/>
        </w:rPr>
        <w:drawing>
          <wp:inline distT="0" distB="0" distL="0" distR="0">
            <wp:extent cx="5164455" cy="35210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41762" cy="3574125"/>
                    </a:xfrm>
                    <a:prstGeom prst="rect">
                      <a:avLst/>
                    </a:prstGeom>
                    <a:noFill/>
                    <a:ln>
                      <a:noFill/>
                    </a:ln>
                  </pic:spPr>
                </pic:pic>
              </a:graphicData>
            </a:graphic>
          </wp:inline>
        </w:drawing>
      </w:r>
    </w:p>
    <w:p>
      <w:pPr>
        <w:spacing w:line="360" w:lineRule="auto"/>
        <w:ind w:firstLine="560" w:firstLineChars="200"/>
        <w:jc w:val="left"/>
        <w:rPr>
          <w:rFonts w:ascii="仿宋" w:hAnsi="仿宋" w:eastAsia="仿宋" w:cstheme="minorEastAsia"/>
          <w:bCs/>
          <w:color w:val="000000" w:themeColor="text1"/>
          <w:sz w:val="28"/>
          <w:szCs w:val="28"/>
        </w:rPr>
      </w:pPr>
      <w:r>
        <w:rPr>
          <w:rFonts w:hint="eastAsia" w:ascii="仿宋" w:hAnsi="仿宋" w:eastAsia="仿宋" w:cstheme="minorEastAsia"/>
          <w:bCs/>
          <w:sz w:val="28"/>
          <w:szCs w:val="28"/>
        </w:rPr>
        <w:t>班主任和科任老师</w:t>
      </w:r>
      <w:r>
        <w:rPr>
          <w:rFonts w:hint="eastAsia" w:ascii="仿宋" w:hAnsi="仿宋" w:eastAsia="仿宋" w:cstheme="minorEastAsia"/>
          <w:bCs/>
          <w:color w:val="000000" w:themeColor="text1"/>
          <w:sz w:val="28"/>
          <w:szCs w:val="28"/>
        </w:rPr>
        <w:t>签订目标责任书，让班级每个的科任老师，都知晓学情，明确方向，明白优势与差距，依据目标，制定出具体的应对方法与措施，在班主任的统一协调下，心往一处想，劲往一处使，团结协作，共同进步。</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每个学生的管理由班主任统一实施，依据学生的家庭情况，个性特点，知识基础，指导学生制定学习短期、中期、长期目标，学生、家长、班主任共同制定计划（包括时间表、计划表、承诺书），建立学生成长档案，找出适合学生的教育和学习方法，有家长、老师监督执行。</w:t>
      </w:r>
    </w:p>
    <w:p>
      <w:pPr>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5095240" cy="31515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extLst>
                        <a:ext uri="{28A0092B-C50C-407E-A947-70E740481C1C}">
                          <a14:useLocalDpi xmlns:a14="http://schemas.microsoft.com/office/drawing/2010/main" val="0"/>
                        </a:ext>
                      </a:extLst>
                    </a:blip>
                    <a:srcRect t="52398"/>
                    <a:stretch>
                      <a:fillRect/>
                    </a:stretch>
                  </pic:blipFill>
                  <pic:spPr>
                    <a:xfrm>
                      <a:off x="0" y="0"/>
                      <a:ext cx="5119530" cy="3166524"/>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5018405" cy="30441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54484" cy="3066647"/>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（三）以课改促落实</w:t>
      </w:r>
    </w:p>
    <w:p>
      <w:pPr>
        <w:spacing w:line="360" w:lineRule="auto"/>
        <w:ind w:firstLine="560" w:firstLineChars="200"/>
        <w:rPr>
          <w:rFonts w:ascii="仿宋" w:hAnsi="仿宋" w:eastAsia="仿宋"/>
          <w:sz w:val="28"/>
          <w:szCs w:val="28"/>
        </w:rPr>
      </w:pPr>
      <w:r>
        <w:rPr>
          <w:rFonts w:hint="eastAsia" w:ascii="仿宋" w:hAnsi="仿宋" w:eastAsia="仿宋"/>
          <w:sz w:val="28"/>
          <w:szCs w:val="28"/>
        </w:rPr>
        <w:t>为了发挥个人积极性，团结协作，提高管理效能，提高教育教学质量，推进课堂教学改革向纵深发展，学校开展了“双主课堂”的课堂改革。</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双主课堂”是指体现以教师为主导和学生为主体，两者地位并重的课堂教学模式。通过学习目标，引导学生自主学习，以促进学生学习效率为根本目的，寻求“教师引导主体”和“学生学习主体”的最佳结合，努力实现“导”与“学”的和谐统一。</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学校以“双主课堂”专题教研论坛的形式，在各学科教研组内展开，各学科老师学习了“双主课堂”的理念，依据学科特点，践行与课堂教学之中，学科组内经过反复的听课，研课、磨课，深入学习领会“双主课堂”的理论内涵。然后由各学科组推出教师代表参加学校组织的“双主课堂”专题教研论坛。</w:t>
      </w:r>
    </w:p>
    <w:p>
      <w:pPr>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4921885" cy="33807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45368" cy="3396900"/>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022</w:t>
      </w:r>
      <w:r>
        <w:rPr>
          <w:rFonts w:hint="eastAsia" w:ascii="仿宋" w:hAnsi="仿宋" w:eastAsia="仿宋"/>
          <w:sz w:val="28"/>
          <w:szCs w:val="28"/>
        </w:rPr>
        <w:t>年3月，学校首先开展了教研论坛——“ “双主课堂”之“目标导学”，各学科教研组老师结合自己学科对目标导学的设定、意义以及在教学中如何落实教学目标等方面进行阐述，把自己的启发与感想与大家分享，相信有交流就会有思维碰撞的火花。</w:t>
      </w:r>
    </w:p>
    <w:p>
      <w:pPr>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4784090" cy="25184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19275" cy="2537134"/>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022</w:t>
      </w:r>
      <w:r>
        <w:rPr>
          <w:rFonts w:hint="eastAsia" w:ascii="仿宋" w:hAnsi="仿宋" w:eastAsia="仿宋"/>
          <w:sz w:val="28"/>
          <w:szCs w:val="28"/>
        </w:rPr>
        <w:t>年4月，开展了教研论坛——双主课堂”之“激发兴趣”，各个教研组老师结合自己学科特点，对培养学生学习兴趣的重要性以及如何贯彻落实等方面进行阐述，指出激发学生的兴趣要让学生乐学，主动去学。注重创设情境，培养学生的学习内驱力、探究力及合作力，培养学生学习的长期兴趣。</w:t>
      </w:r>
    </w:p>
    <w:p>
      <w:pPr>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4782820" cy="25482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a:extLst>
                        <a:ext uri="{28A0092B-C50C-407E-A947-70E740481C1C}">
                          <a14:useLocalDpi xmlns:a14="http://schemas.microsoft.com/office/drawing/2010/main" val="0"/>
                        </a:ext>
                      </a:extLst>
                    </a:blip>
                    <a:srcRect t="9739"/>
                    <a:stretch>
                      <a:fillRect/>
                    </a:stretch>
                  </pic:blipFill>
                  <pic:spPr>
                    <a:xfrm>
                      <a:off x="0" y="0"/>
                      <a:ext cx="4817464" cy="2566851"/>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2</w:t>
      </w:r>
      <w:r>
        <w:rPr>
          <w:rFonts w:ascii="仿宋" w:hAnsi="仿宋" w:eastAsia="仿宋"/>
          <w:sz w:val="28"/>
          <w:szCs w:val="28"/>
        </w:rPr>
        <w:t>022</w:t>
      </w:r>
      <w:r>
        <w:rPr>
          <w:rFonts w:hint="eastAsia" w:ascii="仿宋" w:hAnsi="仿宋" w:eastAsia="仿宋"/>
          <w:sz w:val="28"/>
          <w:szCs w:val="28"/>
        </w:rPr>
        <w:t>年4月，为搭建相互学习，共同发展的平台，促进教师专业化成长，增强“双减”政策下高效课堂的实践能力，平顶山市第五中学于</w:t>
      </w:r>
      <w:r>
        <w:rPr>
          <w:rFonts w:ascii="仿宋" w:hAnsi="仿宋" w:eastAsia="仿宋"/>
          <w:sz w:val="28"/>
          <w:szCs w:val="28"/>
        </w:rPr>
        <w:t>3月21日——4月2日举行 “双主”课堂教学改革优质课评比活动。</w:t>
      </w:r>
    </w:p>
    <w:p>
      <w:pPr>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4833620" cy="29692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a:extLst>
                        <a:ext uri="{28A0092B-C50C-407E-A947-70E740481C1C}">
                          <a14:useLocalDpi xmlns:a14="http://schemas.microsoft.com/office/drawing/2010/main" val="0"/>
                        </a:ext>
                      </a:extLst>
                    </a:blip>
                    <a:srcRect t="12848"/>
                    <a:stretch>
                      <a:fillRect/>
                    </a:stretch>
                  </pic:blipFill>
                  <pic:spPr>
                    <a:xfrm>
                      <a:off x="0" y="0"/>
                      <a:ext cx="4855844" cy="2982668"/>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022</w:t>
      </w:r>
      <w:r>
        <w:rPr>
          <w:rFonts w:hint="eastAsia" w:ascii="仿宋" w:hAnsi="仿宋" w:eastAsia="仿宋"/>
          <w:sz w:val="28"/>
          <w:szCs w:val="28"/>
        </w:rPr>
        <w:t>年5月，开展了教研论坛——“双主课堂”之“任务单设置”，各个教研组老师结合自己学科特点展开叙述，认真总结了本教研组双主课堂教学方面的经验，通过设置导学单、检测单，优化作业设计，减轻学生课业负担，提高了课堂教学效益。</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经过探索实践，分享交流，每位老师写出深刻的心得体会，再在学科教研组内进行讨论、实践、调整，制定出了适合本学科的“双主课堂”基本教学模式：</w:t>
      </w:r>
      <w:r>
        <w:rPr>
          <w:rFonts w:ascii="仿宋" w:hAnsi="仿宋" w:eastAsia="仿宋"/>
          <w:sz w:val="28"/>
          <w:szCs w:val="28"/>
        </w:rPr>
        <w:t>目标导学</w:t>
      </w:r>
      <w:r>
        <w:rPr>
          <w:rFonts w:hint="eastAsia" w:ascii="仿宋" w:hAnsi="仿宋" w:eastAsia="仿宋"/>
          <w:sz w:val="28"/>
          <w:szCs w:val="28"/>
        </w:rPr>
        <w:t>——</w:t>
      </w:r>
      <w:r>
        <w:rPr>
          <w:rFonts w:ascii="仿宋" w:hAnsi="仿宋" w:eastAsia="仿宋"/>
          <w:sz w:val="28"/>
          <w:szCs w:val="28"/>
        </w:rPr>
        <w:t>预习检测</w:t>
      </w:r>
      <w:r>
        <w:rPr>
          <w:rFonts w:hint="eastAsia" w:ascii="仿宋" w:hAnsi="仿宋" w:eastAsia="仿宋"/>
          <w:sz w:val="28"/>
          <w:szCs w:val="28"/>
        </w:rPr>
        <w:t>——</w:t>
      </w:r>
      <w:r>
        <w:rPr>
          <w:rFonts w:ascii="仿宋" w:hAnsi="仿宋" w:eastAsia="仿宋"/>
          <w:sz w:val="28"/>
          <w:szCs w:val="28"/>
        </w:rPr>
        <w:t>自主研学——精讲助学——拓展延学——检测固学</w:t>
      </w:r>
      <w:r>
        <w:rPr>
          <w:rFonts w:hint="eastAsia" w:ascii="仿宋" w:hAnsi="仿宋" w:eastAsia="仿宋"/>
          <w:sz w:val="28"/>
          <w:szCs w:val="28"/>
        </w:rPr>
        <w:t>。</w:t>
      </w:r>
    </w:p>
    <w:p>
      <w:pPr>
        <w:spacing w:line="360" w:lineRule="auto"/>
        <w:jc w:val="center"/>
        <w:rPr>
          <w:rFonts w:ascii="仿宋" w:hAnsi="仿宋" w:eastAsia="仿宋"/>
          <w:sz w:val="28"/>
          <w:szCs w:val="28"/>
        </w:rPr>
      </w:pPr>
      <w:r>
        <w:drawing>
          <wp:inline distT="0" distB="0" distL="0" distR="0">
            <wp:extent cx="5044440" cy="29857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a:extLst>
                        <a:ext uri="{28A0092B-C50C-407E-A947-70E740481C1C}">
                          <a14:useLocalDpi xmlns:a14="http://schemas.microsoft.com/office/drawing/2010/main" val="0"/>
                        </a:ext>
                      </a:extLst>
                    </a:blip>
                    <a:srcRect t="278" b="25570"/>
                    <a:stretch>
                      <a:fillRect/>
                    </a:stretch>
                  </pic:blipFill>
                  <pic:spPr>
                    <a:xfrm>
                      <a:off x="0" y="0"/>
                      <a:ext cx="5110031" cy="3024606"/>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为促进教师快速成长，全面促进学校教育教学教研活动的深入开展，增进与市直名校的教研交流。2</w:t>
      </w:r>
      <w:r>
        <w:rPr>
          <w:rFonts w:ascii="仿宋" w:hAnsi="仿宋" w:eastAsia="仿宋"/>
          <w:sz w:val="28"/>
          <w:szCs w:val="28"/>
        </w:rPr>
        <w:t>022</w:t>
      </w:r>
      <w:r>
        <w:rPr>
          <w:rFonts w:hint="eastAsia" w:ascii="仿宋" w:hAnsi="仿宋" w:eastAsia="仿宋"/>
          <w:sz w:val="28"/>
          <w:szCs w:val="28"/>
        </w:rPr>
        <w:t>年</w:t>
      </w:r>
      <w:r>
        <w:rPr>
          <w:rFonts w:ascii="仿宋" w:hAnsi="仿宋" w:eastAsia="仿宋"/>
          <w:sz w:val="28"/>
          <w:szCs w:val="28"/>
        </w:rPr>
        <w:t>5月24日，在平顶山市第五中学刘红伟书记的带领下，由学校教务主任、年级长、数学骨干教师等一行六人组成的交流团队来到了平顶山市一高初中部积极进行了校际数学教研交流学习活动。</w:t>
      </w:r>
      <w:r>
        <w:rPr>
          <w:rFonts w:hint="eastAsia" w:ascii="仿宋" w:hAnsi="仿宋" w:eastAsia="仿宋"/>
          <w:sz w:val="28"/>
          <w:szCs w:val="28"/>
        </w:rPr>
        <w:t>教研活动讨论探究了三单教学模式，即预习单、导学单、检测单；期中考试质量分析；期末复习方案的制订及分工。大家畅所欲言，收获颇丰。较大程度解决了我校在推行“双主课堂教学模式”过程中的疑惑和困难。</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（四）以教研促提升</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学校在开展了“双主课堂”的进行改革的同时，成立了“双主课堂”教研课题组，申报了两个市级课题：《“双减”下初中双主课堂教学模式的实践研究》《基于高效课堂发挥初中学生主体性作用的实践研究》，并且邀请平顶山市教育局教科所马洁玉所长、张艳萍副所长</w:t>
      </w:r>
      <w:bookmarkStart w:id="2" w:name="_GoBack"/>
      <w:bookmarkEnd w:id="2"/>
      <w:r>
        <w:rPr>
          <w:rFonts w:hint="eastAsia" w:ascii="仿宋" w:hAnsi="仿宋" w:eastAsia="仿宋"/>
          <w:sz w:val="28"/>
          <w:szCs w:val="28"/>
        </w:rPr>
        <w:t>莅临我校指导。全体教师们进一步明确了课题的研究方向，将继续聚焦学校的研究，扎根校本科研，深入推进“双减”工作，推动双主高效课堂的发展。</w:t>
      </w:r>
    </w:p>
    <w:p>
      <w:pPr>
        <w:spacing w:line="360" w:lineRule="auto"/>
        <w:jc w:val="center"/>
        <w:rPr>
          <w:rFonts w:ascii="仿宋" w:hAnsi="仿宋" w:eastAsia="仿宋"/>
          <w:sz w:val="28"/>
          <w:szCs w:val="28"/>
        </w:rPr>
      </w:pPr>
      <w:r>
        <w:drawing>
          <wp:inline distT="0" distB="0" distL="0" distR="0">
            <wp:extent cx="5035550" cy="26752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extLst>
                        <a:ext uri="{28A0092B-C50C-407E-A947-70E740481C1C}">
                          <a14:useLocalDpi xmlns:a14="http://schemas.microsoft.com/office/drawing/2010/main" val="0"/>
                        </a:ext>
                      </a:extLst>
                    </a:blip>
                    <a:srcRect t="20766"/>
                    <a:stretch>
                      <a:fillRect/>
                    </a:stretch>
                  </pic:blipFill>
                  <pic:spPr>
                    <a:xfrm>
                      <a:off x="0" y="0"/>
                      <a:ext cx="5068087" cy="2692222"/>
                    </a:xfrm>
                    <a:prstGeom prst="rect">
                      <a:avLst/>
                    </a:prstGeom>
                    <a:noFill/>
                    <a:ln>
                      <a:noFill/>
                    </a:ln>
                  </pic:spPr>
                </pic:pic>
              </a:graphicData>
            </a:graphic>
          </wp:inline>
        </w:drawing>
      </w:r>
    </w:p>
    <w:p>
      <w:pPr>
        <w:widowControl/>
        <w:spacing w:line="360" w:lineRule="auto"/>
        <w:ind w:firstLine="560" w:firstLineChars="200"/>
        <w:jc w:val="left"/>
        <w:rPr>
          <w:rFonts w:ascii="仿宋" w:hAnsi="仿宋" w:eastAsia="仿宋" w:cs="华文楷体"/>
          <w:bCs/>
          <w:sz w:val="28"/>
          <w:szCs w:val="28"/>
        </w:rPr>
      </w:pPr>
      <w:r>
        <w:rPr>
          <w:rFonts w:hint="eastAsia" w:ascii="仿宋" w:hAnsi="仿宋" w:eastAsia="仿宋" w:cs="华文楷体"/>
          <w:bCs/>
          <w:sz w:val="28"/>
          <w:szCs w:val="28"/>
        </w:rPr>
        <w:t>一分耕耘，一分收获。经过老师们的共同努力，2</w:t>
      </w:r>
      <w:r>
        <w:rPr>
          <w:rFonts w:ascii="仿宋" w:hAnsi="仿宋" w:eastAsia="仿宋" w:cs="华文楷体"/>
          <w:bCs/>
          <w:sz w:val="28"/>
          <w:szCs w:val="28"/>
        </w:rPr>
        <w:t>022</w:t>
      </w:r>
      <w:r>
        <w:rPr>
          <w:rFonts w:hint="eastAsia" w:ascii="仿宋" w:hAnsi="仿宋" w:eastAsia="仿宋" w:cs="华文楷体"/>
          <w:bCs/>
          <w:sz w:val="28"/>
          <w:szCs w:val="28"/>
        </w:rPr>
        <w:t>年6月的期末考试，我校各科成绩捷报频传，教学质量再上新台阶。</w:t>
      </w:r>
    </w:p>
    <w:p>
      <w:pPr>
        <w:widowControl/>
        <w:spacing w:line="360" w:lineRule="auto"/>
        <w:jc w:val="center"/>
        <w:rPr>
          <w:rFonts w:ascii="仿宋" w:hAnsi="仿宋" w:eastAsia="仿宋" w:cs="华文楷体"/>
          <w:bCs/>
          <w:sz w:val="28"/>
          <w:szCs w:val="28"/>
        </w:rPr>
      </w:pPr>
      <w:r>
        <w:rPr>
          <w:rFonts w:ascii="仿宋_GB2312" w:hAnsi="宋体"/>
          <w:sz w:val="32"/>
          <w:szCs w:val="32"/>
        </w:rPr>
        <w:drawing>
          <wp:inline distT="0" distB="0" distL="0" distR="0">
            <wp:extent cx="5038090" cy="31515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rcRect l="4352" t="46797" r="4255" b="4311"/>
                    <a:stretch>
                      <a:fillRect/>
                    </a:stretch>
                  </pic:blipFill>
                  <pic:spPr>
                    <a:xfrm>
                      <a:off x="0" y="0"/>
                      <a:ext cx="5102817" cy="3192204"/>
                    </a:xfrm>
                    <a:prstGeom prst="rect">
                      <a:avLst/>
                    </a:prstGeom>
                    <a:noFill/>
                    <a:ln>
                      <a:noFill/>
                    </a:ln>
                  </pic:spPr>
                </pic:pic>
              </a:graphicData>
            </a:graphic>
          </wp:inline>
        </w:drawing>
      </w:r>
    </w:p>
    <w:p>
      <w:pPr>
        <w:widowControl/>
        <w:spacing w:line="360" w:lineRule="auto"/>
        <w:ind w:firstLine="560" w:firstLineChars="200"/>
        <w:jc w:val="left"/>
        <w:rPr>
          <w:rFonts w:ascii="仿宋" w:hAnsi="仿宋" w:eastAsia="仿宋" w:cs="华文楷体"/>
          <w:bCs/>
          <w:sz w:val="28"/>
          <w:szCs w:val="28"/>
        </w:rPr>
      </w:pPr>
      <w:r>
        <w:rPr>
          <w:rFonts w:hint="eastAsia" w:ascii="仿宋" w:hAnsi="仿宋" w:eastAsia="仿宋" w:cs="华文楷体"/>
          <w:bCs/>
          <w:sz w:val="28"/>
          <w:szCs w:val="28"/>
        </w:rPr>
        <w:t>且教且学且奋进，共研共长共前行。“双主”课堂教学改革长路漫漫，今天我们严谨治学、锲而不舍，明天我们定将精彩“研”续、一路芬芳，朝着“双主”课堂教学改革的方向坚定前行，为教育事业贡献出自己的一份力量！平顶山市第五中学双主课堂教改之花也将会越开越美！</w:t>
      </w:r>
    </w:p>
    <w:bookmarkEnd w:id="1"/>
    <w:p>
      <w:pPr>
        <w:widowControl/>
        <w:spacing w:line="360" w:lineRule="auto"/>
        <w:ind w:firstLine="560" w:firstLineChars="200"/>
        <w:jc w:val="left"/>
        <w:rPr>
          <w:rFonts w:ascii="仿宋" w:hAnsi="仿宋" w:eastAsia="仿宋" w:cs="华文楷体"/>
          <w:bCs/>
          <w:sz w:val="28"/>
          <w:szCs w:val="28"/>
        </w:rPr>
      </w:pPr>
      <w:r>
        <w:rPr>
          <w:rFonts w:hint="eastAsia" w:ascii="仿宋" w:hAnsi="仿宋" w:eastAsia="仿宋" w:cs="华文楷体"/>
          <w:bCs/>
          <w:sz w:val="28"/>
          <w:szCs w:val="28"/>
        </w:rPr>
        <w:t>四、获得荣誉</w:t>
      </w:r>
    </w:p>
    <w:p>
      <w:pPr>
        <w:widowControl/>
        <w:spacing w:line="360" w:lineRule="auto"/>
        <w:ind w:firstLine="560" w:firstLineChars="200"/>
        <w:jc w:val="left"/>
        <w:rPr>
          <w:rFonts w:ascii="仿宋" w:hAnsi="仿宋" w:eastAsia="仿宋" w:cs="宋体"/>
          <w:sz w:val="28"/>
          <w:szCs w:val="28"/>
        </w:rPr>
      </w:pPr>
      <w:r>
        <w:rPr>
          <w:rFonts w:hint="eastAsia" w:ascii="仿宋" w:hAnsi="仿宋" w:eastAsia="仿宋" w:cs="华文楷体"/>
          <w:bCs/>
          <w:sz w:val="28"/>
          <w:szCs w:val="28"/>
        </w:rPr>
        <w:t>2019、2020、2021连续三年，学校团委被共青团平顶山市委授予五四红旗团委；2019年获得平顶山市语言文字规范化示范校”荣誉称号。2020年学校被评为平顶山市城乡一体化示范区文明校园；平顶山市示范性团校；荣获平顶山市市长基础教育质量初中外语学科教育成果奖；河南省义务教育装备标准化实验学校。2021年荣获青年大学习先进单位；平顶山市城乡一体化示范区教育工作先进集体；平顶山市教科研先进单位；河南省数字校园标杆校。</w:t>
      </w:r>
      <w:r>
        <w:rPr>
          <w:rFonts w:hint="eastAsia" w:ascii="仿宋" w:hAnsi="仿宋" w:eastAsia="仿宋" w:cs="宋体"/>
          <w:sz w:val="28"/>
          <w:szCs w:val="28"/>
        </w:rPr>
        <w:t>2022年评为河南省语言文字示范校；示范区教育工作先进集体。</w:t>
      </w:r>
    </w:p>
    <w:p>
      <w:pPr>
        <w:spacing w:line="360" w:lineRule="auto"/>
        <w:ind w:firstLine="560" w:firstLineChars="200"/>
        <w:jc w:val="left"/>
        <w:rPr>
          <w:rFonts w:ascii="仿宋" w:hAnsi="仿宋" w:eastAsia="仿宋" w:cs="宋体"/>
          <w:sz w:val="28"/>
          <w:szCs w:val="28"/>
        </w:rPr>
      </w:pPr>
      <w:r>
        <w:rPr>
          <w:rFonts w:hint="eastAsia" w:ascii="仿宋" w:hAnsi="仿宋" w:eastAsia="仿宋" w:cs="宋体"/>
          <w:sz w:val="28"/>
          <w:szCs w:val="28"/>
        </w:rPr>
        <w:t>平顶山市第五中学在示范区管委会和示范区教体局正确领导下正朝着良性发展的道路前进，相信五中人定能追求卓越、团结协作、开拓创新、脚踏实地，心往一处想，劲往一处使，凝心聚力打造学校核心竞争力，学生健康可爱、教师内心幸福、学校风清气正。五中人坚信：只有让精神生长、让灵魂发育，才会有朝气蓬勃的生命，才会有不断出彩的人生！</w:t>
      </w:r>
      <w:bookmarkEnd w:id="0"/>
    </w:p>
    <w:sectPr>
      <w:footerReference r:id="rId3" w:type="default"/>
      <w:pgSz w:w="11906" w:h="16838"/>
      <w:pgMar w:top="1440" w:right="1531" w:bottom="1440"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012322"/>
      <w:docPartObj>
        <w:docPartGallery w:val="AutoText"/>
      </w:docPartObj>
    </w:sdtPr>
    <w:sdtContent>
      <w:p>
        <w:pPr>
          <w:pStyle w:val="3"/>
          <w:jc w:val="center"/>
        </w:pPr>
        <w:r>
          <w:fldChar w:fldCharType="begin"/>
        </w:r>
        <w:r>
          <w:instrText xml:space="preserve"> PAGE   \* MERGEFORMAT </w:instrText>
        </w:r>
        <w:r>
          <w:fldChar w:fldCharType="separate"/>
        </w:r>
        <w:r>
          <w:rPr>
            <w:lang w:val="zh-CN"/>
          </w:rPr>
          <w:t>8</w:t>
        </w:r>
        <w:r>
          <w:rPr>
            <w:lang w:val="zh-CN"/>
          </w:rP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96"/>
    <w:multiLevelType w:val="multilevel"/>
    <w:tmpl w:val="08333396"/>
    <w:lvl w:ilvl="0" w:tentative="0">
      <w:start w:val="1"/>
      <w:numFmt w:val="japaneseCounting"/>
      <w:lvlText w:val="（%1）"/>
      <w:lvlJc w:val="left"/>
      <w:pPr>
        <w:ind w:left="1415" w:hanging="855"/>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211D4"/>
    <w:rsid w:val="0001070D"/>
    <w:rsid w:val="000209EA"/>
    <w:rsid w:val="00063912"/>
    <w:rsid w:val="00091AD0"/>
    <w:rsid w:val="000D638F"/>
    <w:rsid w:val="000F6C07"/>
    <w:rsid w:val="001357F6"/>
    <w:rsid w:val="00150778"/>
    <w:rsid w:val="00161F96"/>
    <w:rsid w:val="002045C2"/>
    <w:rsid w:val="0021256A"/>
    <w:rsid w:val="002211D4"/>
    <w:rsid w:val="0023411D"/>
    <w:rsid w:val="00254BD9"/>
    <w:rsid w:val="00281A54"/>
    <w:rsid w:val="003045E2"/>
    <w:rsid w:val="00313093"/>
    <w:rsid w:val="00331023"/>
    <w:rsid w:val="003468A2"/>
    <w:rsid w:val="0036316D"/>
    <w:rsid w:val="003B4F9B"/>
    <w:rsid w:val="003F76D3"/>
    <w:rsid w:val="00415B21"/>
    <w:rsid w:val="00416A5E"/>
    <w:rsid w:val="00432D08"/>
    <w:rsid w:val="004333A3"/>
    <w:rsid w:val="00461549"/>
    <w:rsid w:val="004671A5"/>
    <w:rsid w:val="004A6E10"/>
    <w:rsid w:val="004C58DC"/>
    <w:rsid w:val="004E13E2"/>
    <w:rsid w:val="00510012"/>
    <w:rsid w:val="00522ECB"/>
    <w:rsid w:val="00532D7B"/>
    <w:rsid w:val="00542E23"/>
    <w:rsid w:val="00544904"/>
    <w:rsid w:val="005760D5"/>
    <w:rsid w:val="00594A25"/>
    <w:rsid w:val="00595360"/>
    <w:rsid w:val="005C08FB"/>
    <w:rsid w:val="005F014A"/>
    <w:rsid w:val="005F3D3B"/>
    <w:rsid w:val="00600CA6"/>
    <w:rsid w:val="00601AC0"/>
    <w:rsid w:val="00663DD4"/>
    <w:rsid w:val="0068255C"/>
    <w:rsid w:val="006A3005"/>
    <w:rsid w:val="006C0D60"/>
    <w:rsid w:val="006C7AE1"/>
    <w:rsid w:val="0071484D"/>
    <w:rsid w:val="00734BE1"/>
    <w:rsid w:val="007430DF"/>
    <w:rsid w:val="007464AD"/>
    <w:rsid w:val="00765AB8"/>
    <w:rsid w:val="007741D5"/>
    <w:rsid w:val="007B1B1C"/>
    <w:rsid w:val="007C4950"/>
    <w:rsid w:val="007D0418"/>
    <w:rsid w:val="0081777B"/>
    <w:rsid w:val="00854AE9"/>
    <w:rsid w:val="008645F6"/>
    <w:rsid w:val="008B7729"/>
    <w:rsid w:val="008C2DC5"/>
    <w:rsid w:val="008C5F33"/>
    <w:rsid w:val="00926FEA"/>
    <w:rsid w:val="00935989"/>
    <w:rsid w:val="00987FD1"/>
    <w:rsid w:val="009B0EDB"/>
    <w:rsid w:val="00A11034"/>
    <w:rsid w:val="00A217AC"/>
    <w:rsid w:val="00A731E1"/>
    <w:rsid w:val="00A77FC4"/>
    <w:rsid w:val="00A84806"/>
    <w:rsid w:val="00A878E4"/>
    <w:rsid w:val="00AB13DB"/>
    <w:rsid w:val="00AB6558"/>
    <w:rsid w:val="00AD0EA7"/>
    <w:rsid w:val="00B30C7F"/>
    <w:rsid w:val="00B75589"/>
    <w:rsid w:val="00BB6611"/>
    <w:rsid w:val="00BF1D68"/>
    <w:rsid w:val="00C252CD"/>
    <w:rsid w:val="00C26557"/>
    <w:rsid w:val="00C60233"/>
    <w:rsid w:val="00C70C9E"/>
    <w:rsid w:val="00CA62AD"/>
    <w:rsid w:val="00CC322C"/>
    <w:rsid w:val="00CD36DB"/>
    <w:rsid w:val="00D250EF"/>
    <w:rsid w:val="00D40016"/>
    <w:rsid w:val="00E0263B"/>
    <w:rsid w:val="00E05B1F"/>
    <w:rsid w:val="00E15076"/>
    <w:rsid w:val="00E72E5C"/>
    <w:rsid w:val="00E92A9C"/>
    <w:rsid w:val="00ED06CE"/>
    <w:rsid w:val="00ED65F4"/>
    <w:rsid w:val="00F351EF"/>
    <w:rsid w:val="00F67FB6"/>
    <w:rsid w:val="00F84970"/>
    <w:rsid w:val="00FA6229"/>
    <w:rsid w:val="00FD5F44"/>
    <w:rsid w:val="01F86BFA"/>
    <w:rsid w:val="033B0FC4"/>
    <w:rsid w:val="073F2987"/>
    <w:rsid w:val="085D06D7"/>
    <w:rsid w:val="0C3F2FAE"/>
    <w:rsid w:val="11E45C77"/>
    <w:rsid w:val="146255E2"/>
    <w:rsid w:val="17BD7562"/>
    <w:rsid w:val="18831C78"/>
    <w:rsid w:val="19C475F7"/>
    <w:rsid w:val="1CF634C1"/>
    <w:rsid w:val="262249F0"/>
    <w:rsid w:val="26C7394A"/>
    <w:rsid w:val="28222328"/>
    <w:rsid w:val="28726828"/>
    <w:rsid w:val="28C20D11"/>
    <w:rsid w:val="2BF34C3F"/>
    <w:rsid w:val="32290250"/>
    <w:rsid w:val="33C62A00"/>
    <w:rsid w:val="348B090E"/>
    <w:rsid w:val="38A97913"/>
    <w:rsid w:val="3A7E5898"/>
    <w:rsid w:val="3A962E6C"/>
    <w:rsid w:val="3AE84CDD"/>
    <w:rsid w:val="411A7ED2"/>
    <w:rsid w:val="423925B2"/>
    <w:rsid w:val="43310856"/>
    <w:rsid w:val="44D1478F"/>
    <w:rsid w:val="490003ED"/>
    <w:rsid w:val="4BED24F8"/>
    <w:rsid w:val="5158062C"/>
    <w:rsid w:val="557E2B6D"/>
    <w:rsid w:val="59D17759"/>
    <w:rsid w:val="5AD23225"/>
    <w:rsid w:val="631C110C"/>
    <w:rsid w:val="647213B5"/>
    <w:rsid w:val="66124DD3"/>
    <w:rsid w:val="67521FED"/>
    <w:rsid w:val="6AE76862"/>
    <w:rsid w:val="6B6D73D7"/>
    <w:rsid w:val="6D155DCC"/>
    <w:rsid w:val="73B77389"/>
    <w:rsid w:val="73DB2F56"/>
    <w:rsid w:val="755538D8"/>
    <w:rsid w:val="7702236C"/>
    <w:rsid w:val="78057BF4"/>
    <w:rsid w:val="7EEE5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99"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Times New Roman"/>
      <w:kern w:val="2"/>
      <w:sz w:val="30"/>
      <w:szCs w:val="30"/>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link w:val="13"/>
    <w:uiPriority w:val="99"/>
    <w:pPr>
      <w:tabs>
        <w:tab w:val="center" w:pos="4153"/>
        <w:tab w:val="right" w:pos="8306"/>
      </w:tabs>
      <w:snapToGrid w:val="0"/>
      <w:jc w:val="left"/>
    </w:pPr>
    <w:rPr>
      <w:sz w:val="18"/>
      <w:szCs w:val="18"/>
    </w:rPr>
  </w:style>
  <w:style w:type="paragraph" w:styleId="4">
    <w:name w:val="header"/>
    <w:basedOn w:val="1"/>
    <w:link w:val="12"/>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qFormat/>
    <w:uiPriority w:val="99"/>
  </w:style>
  <w:style w:type="paragraph" w:customStyle="1" w:styleId="8">
    <w:name w:val="样式5"/>
    <w:basedOn w:val="1"/>
    <w:link w:val="10"/>
    <w:qFormat/>
    <w:uiPriority w:val="0"/>
    <w:pPr>
      <w:spacing w:line="160" w:lineRule="exact"/>
    </w:pPr>
    <w:rPr>
      <w:rFonts w:ascii="Times New Roman" w:hAnsi="Times New Roman" w:eastAsia="宋体"/>
    </w:rPr>
  </w:style>
  <w:style w:type="paragraph" w:customStyle="1" w:styleId="9">
    <w:name w:val="Table Paragraph"/>
    <w:basedOn w:val="1"/>
    <w:hidden/>
    <w:qFormat/>
    <w:uiPriority w:val="0"/>
    <w:pPr>
      <w:autoSpaceDE w:val="0"/>
      <w:autoSpaceDN w:val="0"/>
      <w:adjustRightInd w:val="0"/>
      <w:jc w:val="left"/>
    </w:pPr>
    <w:rPr>
      <w:rFonts w:ascii="仿宋_GB2312" w:hAnsi="Times New Roman"/>
      <w:kern w:val="0"/>
      <w:sz w:val="24"/>
      <w:szCs w:val="24"/>
    </w:rPr>
  </w:style>
  <w:style w:type="character" w:customStyle="1" w:styleId="10">
    <w:name w:val="样式5 Char"/>
    <w:link w:val="8"/>
    <w:qFormat/>
    <w:uiPriority w:val="0"/>
    <w:rPr>
      <w:rFonts w:ascii="Times New Roman" w:hAnsi="Times New Roman" w:eastAsia="宋体"/>
    </w:rPr>
  </w:style>
  <w:style w:type="character" w:customStyle="1" w:styleId="11">
    <w:name w:val="批注框文本 字符"/>
    <w:basedOn w:val="6"/>
    <w:link w:val="2"/>
    <w:uiPriority w:val="0"/>
    <w:rPr>
      <w:rFonts w:ascii="Calibri" w:hAnsi="Calibri" w:eastAsia="仿宋_GB2312"/>
      <w:kern w:val="2"/>
      <w:sz w:val="18"/>
      <w:szCs w:val="18"/>
    </w:rPr>
  </w:style>
  <w:style w:type="character" w:customStyle="1" w:styleId="12">
    <w:name w:val="页眉 字符"/>
    <w:basedOn w:val="6"/>
    <w:link w:val="4"/>
    <w:uiPriority w:val="0"/>
    <w:rPr>
      <w:rFonts w:ascii="Calibri" w:hAnsi="Calibri" w:eastAsia="仿宋_GB2312"/>
      <w:kern w:val="2"/>
      <w:sz w:val="18"/>
      <w:szCs w:val="18"/>
    </w:rPr>
  </w:style>
  <w:style w:type="character" w:customStyle="1" w:styleId="13">
    <w:name w:val="页脚 字符"/>
    <w:basedOn w:val="6"/>
    <w:link w:val="3"/>
    <w:uiPriority w:val="99"/>
    <w:rPr>
      <w:rFonts w:ascii="Calibri" w:hAnsi="Calibri" w:eastAsia="仿宋_GB2312"/>
      <w:kern w:val="2"/>
      <w:sz w:val="18"/>
      <w:szCs w:val="18"/>
    </w:rPr>
  </w:style>
  <w:style w:type="paragraph" w:styleId="14">
    <w:name w:val="List Paragraph"/>
    <w:basedOn w:val="1"/>
    <w:qFormat/>
    <w:uiPriority w:val="34"/>
    <w:pPr>
      <w:ind w:firstLine="420" w:firstLineChars="200"/>
    </w:pPr>
    <w:rPr>
      <w:rFonts w:asciiTheme="minorHAnsi" w:hAnsiTheme="minorHAnsi" w:eastAsiaTheme="minorEastAsia" w:cstheme="minorBidi"/>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Pages>
  <Words>466</Words>
  <Characters>2662</Characters>
  <Lines>22</Lines>
  <Paragraphs>6</Paragraphs>
  <TotalTime>0</TotalTime>
  <ScaleCrop>false</ScaleCrop>
  <LinksUpToDate>false</LinksUpToDate>
  <CharactersWithSpaces>3122</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2020-08-16T09:03:00Z</dcterms:created>
  <dc:creator>平顶山市第五中学 黄秋莲</dc:creator>
  <cp:lastModifiedBy>冷墨荷花</cp:lastModifiedBy>
  <cp:lastPrinted>2021-04-07T02:19:00Z</cp:lastPrinted>
  <dcterms:modified xsi:type="dcterms:W3CDTF">2022-09-18T06:18:59Z</dcterms:modified>
  <dc:subject>平顶山市城乡一体化示范区义务教育标准化管理示范校申报材料</dc:subject>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y fmtid="{D5CDD505-2E9C-101B-9397-08002B2CF9AE}" pid="3" name="ICV">
    <vt:lpwstr>B250093856F94C969CDCD788C5297CC5</vt:lpwstr>
  </property>
</Properties>
</file>