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方正小标宋_GBK" w:eastAsia="方正小标宋_GBK"/>
          <w:color w:val="FF0000"/>
          <w:sz w:val="96"/>
          <w:szCs w:val="96"/>
        </w:rPr>
      </w:pPr>
    </w:p>
    <w:p>
      <w:pPr>
        <w:pStyle w:val="7"/>
        <w:jc w:val="center"/>
        <w:rPr>
          <w:rFonts w:ascii="仿宋" w:hAnsi="仿宋" w:eastAsia="仿宋"/>
          <w:sz w:val="32"/>
          <w:szCs w:val="32"/>
        </w:rPr>
      </w:pPr>
    </w:p>
    <w:p>
      <w:pPr>
        <w:pStyle w:val="7"/>
        <w:jc w:val="center"/>
        <w:rPr>
          <w:rFonts w:ascii="仿宋" w:hAnsi="仿宋" w:eastAsia="仿宋"/>
          <w:sz w:val="32"/>
          <w:szCs w:val="32"/>
        </w:rPr>
      </w:pPr>
    </w:p>
    <w:p>
      <w:pPr>
        <w:pStyle w:val="7"/>
        <w:rPr>
          <w:rFonts w:ascii="仿宋" w:hAnsi="仿宋" w:eastAsia="仿宋"/>
          <w:sz w:val="22"/>
          <w:szCs w:val="22"/>
        </w:rPr>
      </w:pPr>
    </w:p>
    <w:p>
      <w:pPr>
        <w:pStyle w:val="7"/>
        <w:widowControl/>
        <w:spacing w:before="0" w:beforeAutospacing="0" w:after="0" w:afterAutospacing="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平新</w:t>
      </w:r>
      <w:r>
        <w:rPr>
          <w:rFonts w:hint="eastAsia" w:ascii="仿宋_GB2312" w:hAnsi="仿宋_GB2312" w:eastAsia="仿宋_GB2312" w:cs="仿宋_GB2312"/>
          <w:kern w:val="0"/>
          <w:sz w:val="32"/>
          <w:szCs w:val="32"/>
          <w:lang w:eastAsia="zh-CN"/>
        </w:rPr>
        <w:t>城</w:t>
      </w:r>
      <w:r>
        <w:rPr>
          <w:rFonts w:hint="eastAsia" w:ascii="仿宋_GB2312" w:hAnsi="仿宋_GB2312" w:eastAsia="仿宋_GB2312" w:cs="仿宋_GB2312"/>
          <w:kern w:val="0"/>
          <w:sz w:val="32"/>
          <w:szCs w:val="32"/>
        </w:rPr>
        <w:t>环</w:t>
      </w:r>
      <w:r>
        <w:rPr>
          <w:rFonts w:hint="eastAsia" w:ascii="仿宋_GB2312" w:hAnsi="仿宋_GB2312" w:eastAsia="仿宋_GB2312" w:cs="仿宋_GB2312"/>
          <w:kern w:val="0"/>
          <w:sz w:val="32"/>
          <w:szCs w:val="32"/>
          <w:lang w:eastAsia="zh-CN"/>
        </w:rPr>
        <w:t>审</w:t>
      </w: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kern w:val="0"/>
          <w:sz w:val="32"/>
          <w:szCs w:val="32"/>
        </w:rPr>
        <w:t>号</w:t>
      </w:r>
    </w:p>
    <w:p>
      <w:pPr>
        <w:pStyle w:val="3"/>
        <w:widowControl/>
        <w:snapToGrid w:val="0"/>
        <w:jc w:val="center"/>
        <w:rPr>
          <w:rFonts w:ascii="楷体" w:hAnsi="楷体" w:eastAsia="楷体" w:cs="楷体"/>
          <w:sz w:val="36"/>
          <w:szCs w:val="36"/>
        </w:rPr>
      </w:pPr>
    </w:p>
    <w:p>
      <w:pPr>
        <w:pStyle w:val="3"/>
        <w:widowControl/>
        <w:snapToGrid w:val="0"/>
        <w:jc w:val="center"/>
        <w:rPr>
          <w:rFonts w:ascii="楷体" w:hAnsi="楷体" w:eastAsia="楷体" w:cs="楷体"/>
        </w:rPr>
      </w:pPr>
    </w:p>
    <w:p>
      <w:pPr>
        <w:pStyle w:val="3"/>
        <w:widowControl/>
        <w:snapToGrid w:val="0"/>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平顶山市新城区环境保护局</w:t>
      </w:r>
    </w:p>
    <w:p>
      <w:pPr>
        <w:pStyle w:val="3"/>
        <w:widowControl/>
        <w:snapToGrid w:val="0"/>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关于《</w:t>
      </w:r>
      <w:r>
        <w:rPr>
          <w:rFonts w:hint="eastAsia" w:ascii="方正小标宋简体" w:hAnsi="方正小标宋简体" w:eastAsia="方正小标宋简体" w:cs="方正小标宋简体"/>
          <w:b w:val="0"/>
          <w:bCs w:val="0"/>
          <w:color w:val="000000"/>
          <w:sz w:val="44"/>
          <w:szCs w:val="44"/>
          <w:lang w:eastAsia="zh-CN"/>
        </w:rPr>
        <w:t>平顶山海关综合业务技术用房建设项目（一期工程）</w:t>
      </w:r>
      <w:r>
        <w:rPr>
          <w:rFonts w:hint="eastAsia" w:ascii="方正小标宋简体" w:hAnsi="方正小标宋简体" w:eastAsia="方正小标宋简体" w:cs="方正小标宋简体"/>
          <w:b w:val="0"/>
          <w:bCs w:val="0"/>
          <w:color w:val="000000"/>
          <w:sz w:val="44"/>
          <w:szCs w:val="44"/>
        </w:rPr>
        <w:t>环境影响评价报</w:t>
      </w:r>
      <w:r>
        <w:rPr>
          <w:rFonts w:hint="eastAsia" w:ascii="方正小标宋简体" w:hAnsi="方正小标宋简体" w:eastAsia="方正小标宋简体" w:cs="方正小标宋简体"/>
          <w:b w:val="0"/>
          <w:bCs w:val="0"/>
          <w:color w:val="000000"/>
          <w:sz w:val="44"/>
          <w:szCs w:val="44"/>
          <w:lang w:eastAsia="zh-CN"/>
        </w:rPr>
        <w:t>告</w:t>
      </w:r>
      <w:r>
        <w:rPr>
          <w:rFonts w:hint="eastAsia" w:ascii="方正小标宋简体" w:hAnsi="方正小标宋简体" w:eastAsia="方正小标宋简体" w:cs="方正小标宋简体"/>
          <w:b w:val="0"/>
          <w:bCs w:val="0"/>
          <w:color w:val="000000"/>
          <w:sz w:val="44"/>
          <w:szCs w:val="44"/>
        </w:rPr>
        <w:t>表》的</w:t>
      </w:r>
    </w:p>
    <w:p>
      <w:pPr>
        <w:pStyle w:val="3"/>
        <w:widowControl/>
        <w:snapToGrid w:val="0"/>
        <w:jc w:val="center"/>
        <w:rPr>
          <w:rFonts w:hint="eastAsia" w:ascii="方正小标宋简体" w:hAnsi="方正小标宋简体" w:eastAsia="方正小标宋简体" w:cs="方正小标宋简体"/>
          <w:b w:val="0"/>
          <w:bCs w:val="0"/>
          <w:color w:val="000000"/>
          <w:sz w:val="44"/>
          <w:szCs w:val="44"/>
        </w:rPr>
      </w:pPr>
      <w:bookmarkStart w:id="0" w:name="_GoBack"/>
      <w:bookmarkEnd w:id="0"/>
      <w:r>
        <w:rPr>
          <w:rFonts w:hint="eastAsia" w:ascii="方正小标宋简体" w:hAnsi="方正小标宋简体" w:eastAsia="方正小标宋简体" w:cs="方正小标宋简体"/>
          <w:b w:val="0"/>
          <w:bCs w:val="0"/>
          <w:color w:val="000000"/>
          <w:sz w:val="44"/>
          <w:szCs w:val="44"/>
        </w:rPr>
        <w:t>批复意见</w:t>
      </w:r>
    </w:p>
    <w:p>
      <w:pPr>
        <w:pStyle w:val="3"/>
        <w:keepNext w:val="0"/>
        <w:keepLines w:val="0"/>
        <w:pageBreakBefore w:val="0"/>
        <w:widowControl/>
        <w:kinsoku/>
        <w:wordWrap/>
        <w:overflowPunct/>
        <w:topLinePunct w:val="0"/>
        <w:autoSpaceDE/>
        <w:autoSpaceDN/>
        <w:bidi w:val="0"/>
        <w:adjustRightInd/>
        <w:snapToGrid w:val="0"/>
        <w:spacing w:before="157" w:beforeLines="50"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snapToGrid w:val="0"/>
          <w:sz w:val="32"/>
          <w:szCs w:val="32"/>
          <w:lang w:val="en-US" w:eastAsia="zh-CN"/>
        </w:rPr>
        <w:t>平顶山市商务局</w:t>
      </w:r>
      <w:r>
        <w:rPr>
          <w:rFonts w:hint="eastAsia" w:ascii="仿宋_GB2312" w:hAnsi="仿宋_GB2312" w:eastAsia="仿宋_GB2312" w:cs="仿宋_GB2312"/>
          <w:color w:val="000000"/>
          <w:sz w:val="32"/>
          <w:szCs w:val="32"/>
        </w:rPr>
        <w:t>：</w:t>
      </w:r>
    </w:p>
    <w:p>
      <w:pPr>
        <w:pStyle w:val="3"/>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你</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上报的由</w:t>
      </w:r>
      <w:r>
        <w:rPr>
          <w:rFonts w:hint="eastAsia" w:ascii="仿宋_GB2312" w:hAnsi="仿宋_GB2312" w:eastAsia="仿宋_GB2312" w:cs="仿宋_GB2312"/>
          <w:color w:val="000000"/>
          <w:sz w:val="32"/>
          <w:szCs w:val="32"/>
          <w:lang w:val="en-US" w:eastAsia="zh-CN"/>
        </w:rPr>
        <w:t>中南金尚环境工程有限公司</w:t>
      </w:r>
      <w:r>
        <w:rPr>
          <w:rFonts w:hint="eastAsia" w:ascii="仿宋_GB2312" w:hAnsi="仿宋_GB2312" w:eastAsia="仿宋_GB2312" w:cs="仿宋_GB2312"/>
          <w:color w:val="000000"/>
          <w:sz w:val="32"/>
          <w:szCs w:val="32"/>
        </w:rPr>
        <w:t>编制的《</w:t>
      </w:r>
      <w:r>
        <w:rPr>
          <w:rFonts w:hint="eastAsia" w:ascii="仿宋_GB2312" w:hAnsi="仿宋_GB2312" w:eastAsia="仿宋_GB2312" w:cs="仿宋_GB2312"/>
          <w:color w:val="000000"/>
          <w:sz w:val="32"/>
          <w:szCs w:val="32"/>
          <w:lang w:eastAsia="zh-CN"/>
        </w:rPr>
        <w:t>平顶山海关综合业务技术用房建设项目（一期工程）</w:t>
      </w:r>
      <w:r>
        <w:rPr>
          <w:rFonts w:hint="eastAsia" w:ascii="仿宋_GB2312" w:hAnsi="仿宋_GB2312" w:eastAsia="仿宋_GB2312" w:cs="仿宋_GB2312"/>
          <w:color w:val="000000"/>
          <w:sz w:val="32"/>
          <w:szCs w:val="32"/>
        </w:rPr>
        <w:t>环境影响评价报</w:t>
      </w:r>
      <w:r>
        <w:rPr>
          <w:rFonts w:hint="eastAsia" w:ascii="仿宋_GB2312" w:hAnsi="仿宋_GB2312" w:eastAsia="仿宋_GB2312" w:cs="仿宋_GB2312"/>
          <w:color w:val="000000"/>
          <w:sz w:val="32"/>
          <w:szCs w:val="32"/>
          <w:lang w:eastAsia="zh-CN"/>
        </w:rPr>
        <w:t>告</w:t>
      </w:r>
      <w:r>
        <w:rPr>
          <w:rFonts w:hint="eastAsia" w:ascii="仿宋_GB2312" w:hAnsi="仿宋_GB2312" w:eastAsia="仿宋_GB2312" w:cs="仿宋_GB2312"/>
          <w:color w:val="000000"/>
          <w:sz w:val="32"/>
          <w:szCs w:val="32"/>
        </w:rPr>
        <w:t>表（报批版）》（以下简称《报告表》）收悉。该项目审批事项在我局网站公示期满。经研究，批复如下：</w:t>
      </w:r>
    </w:p>
    <w:p>
      <w:pPr>
        <w:pStyle w:val="3"/>
        <w:keepNext w:val="0"/>
        <w:keepLines w:val="0"/>
        <w:pageBreakBefore w:val="0"/>
        <w:widowControl/>
        <w:numPr>
          <w:ilvl w:val="0"/>
          <w:numId w:val="1"/>
        </w:numPr>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该项目位于平顶山市城乡一体化示范区龙翔大道与夏耘路交叉口东北角，总规划用地面积26506.15㎡，总建筑面积35695.18㎡，拟分两期实施，本项目只建设一期部分，二期为预留建设。其中一期总建筑面积约为18973.32 ㎡，地上建筑面积16534. 74㎡，一期项目建设综合业务技术主楼一栋共12层，宿舍值班一栋楼共4层，总投资17060.48万，环保投资501.59万，环保投资占总投资比例2.94%。</w:t>
      </w:r>
    </w:p>
    <w:p>
      <w:pPr>
        <w:pStyle w:val="3"/>
        <w:keepNext w:val="0"/>
        <w:keepLines w:val="0"/>
        <w:pageBreakBefore w:val="0"/>
        <w:widowControl/>
        <w:numPr>
          <w:ilvl w:val="0"/>
          <w:numId w:val="0"/>
        </w:numPr>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该《报告表》编制规范，内容全面，提出的环境保护和污染防治措施基本可行，结论可信，可以作为下一步环境管理的依据。该项目符合目前国家产业政策和环保政策，同意该项目严格按照《报告表》所列的性质、规模、地点和环境保护对策措施进行</w:t>
      </w:r>
      <w:r>
        <w:rPr>
          <w:rFonts w:hint="eastAsia" w:ascii="仿宋_GB2312" w:hAnsi="仿宋_GB2312" w:eastAsia="仿宋_GB2312" w:cs="仿宋_GB2312"/>
          <w:color w:val="000000"/>
          <w:sz w:val="32"/>
          <w:szCs w:val="32"/>
          <w:lang w:eastAsia="zh-CN"/>
        </w:rPr>
        <w:t>后期运营</w:t>
      </w:r>
      <w:r>
        <w:rPr>
          <w:rFonts w:hint="eastAsia" w:ascii="仿宋_GB2312" w:hAnsi="仿宋_GB2312" w:eastAsia="仿宋_GB2312" w:cs="仿宋_GB2312"/>
          <w:color w:val="000000"/>
          <w:sz w:val="32"/>
          <w:szCs w:val="32"/>
        </w:rPr>
        <w:t>。</w:t>
      </w:r>
    </w:p>
    <w:p>
      <w:pPr>
        <w:pStyle w:val="3"/>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三、你单位应向社会公众主动公开已经批准的《报告表》，并接受利害相关方的垂询。</w:t>
      </w:r>
    </w:p>
    <w:p>
      <w:pPr>
        <w:pStyle w:val="3"/>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四、你单位要严格执行环保“三同时”制度，认真落实报告表中提出的各项污染防治措施，并落实相应环保投资。确保本项目在施工期</w:t>
      </w:r>
      <w:r>
        <w:rPr>
          <w:rFonts w:hint="eastAsia" w:ascii="仿宋_GB2312" w:hAnsi="仿宋_GB2312" w:eastAsia="仿宋_GB2312" w:cs="仿宋_GB2312"/>
          <w:color w:val="000000"/>
          <w:sz w:val="32"/>
          <w:szCs w:val="32"/>
          <w:lang w:eastAsia="zh-CN"/>
        </w:rPr>
        <w:t>和运营期</w:t>
      </w:r>
      <w:r>
        <w:rPr>
          <w:rFonts w:hint="eastAsia" w:ascii="仿宋_GB2312" w:hAnsi="仿宋_GB2312" w:eastAsia="仿宋_GB2312" w:cs="仿宋_GB2312"/>
          <w:color w:val="000000"/>
          <w:sz w:val="32"/>
          <w:szCs w:val="32"/>
        </w:rPr>
        <w:t>产生的</w:t>
      </w:r>
      <w:r>
        <w:rPr>
          <w:rFonts w:hint="eastAsia" w:ascii="仿宋_GB2312" w:hAnsi="仿宋_GB2312" w:eastAsia="仿宋_GB2312" w:cs="仿宋_GB2312"/>
          <w:color w:val="000000"/>
          <w:sz w:val="32"/>
          <w:szCs w:val="32"/>
          <w:lang w:eastAsia="zh-CN"/>
        </w:rPr>
        <w:t>颗粒物</w:t>
      </w:r>
      <w:r>
        <w:rPr>
          <w:rFonts w:hint="eastAsia" w:ascii="仿宋_GB2312" w:hAnsi="仿宋_GB2312" w:eastAsia="仿宋_GB2312" w:cs="仿宋_GB2312"/>
          <w:color w:val="000000"/>
          <w:sz w:val="32"/>
          <w:szCs w:val="32"/>
        </w:rPr>
        <w:t>、噪声、废水和固体废物等各类污染物达标排放或得到妥善处理。同时你</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在项目的施工</w:t>
      </w:r>
      <w:r>
        <w:rPr>
          <w:rFonts w:hint="eastAsia" w:ascii="仿宋_GB2312" w:hAnsi="仿宋_GB2312" w:eastAsia="仿宋_GB2312" w:cs="仿宋_GB2312"/>
          <w:color w:val="000000"/>
          <w:sz w:val="32"/>
          <w:szCs w:val="32"/>
          <w:lang w:eastAsia="zh-CN"/>
        </w:rPr>
        <w:t>期和运营期</w:t>
      </w:r>
      <w:r>
        <w:rPr>
          <w:rFonts w:hint="eastAsia" w:ascii="仿宋_GB2312" w:hAnsi="仿宋_GB2312" w:eastAsia="仿宋_GB2312" w:cs="仿宋_GB2312"/>
          <w:color w:val="000000"/>
          <w:sz w:val="32"/>
          <w:szCs w:val="32"/>
        </w:rPr>
        <w:t>应</w:t>
      </w:r>
      <w:r>
        <w:rPr>
          <w:rFonts w:hint="eastAsia" w:ascii="仿宋_GB2312" w:hAnsi="仿宋_GB2312" w:eastAsia="仿宋_GB2312" w:cs="仿宋_GB2312"/>
          <w:color w:val="000000"/>
          <w:sz w:val="32"/>
          <w:szCs w:val="32"/>
          <w:lang w:eastAsia="zh-CN"/>
        </w:rPr>
        <w:t>着重</w:t>
      </w:r>
      <w:r>
        <w:rPr>
          <w:rFonts w:hint="eastAsia" w:ascii="仿宋_GB2312" w:hAnsi="仿宋_GB2312" w:eastAsia="仿宋_GB2312" w:cs="仿宋_GB2312"/>
          <w:color w:val="000000"/>
          <w:sz w:val="32"/>
          <w:szCs w:val="32"/>
        </w:rPr>
        <w:t>做好以下工作：</w:t>
      </w:r>
    </w:p>
    <w:p>
      <w:pPr>
        <w:pStyle w:val="3"/>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1、加强施工期污染治理。按照平顶山市</w:t>
      </w:r>
      <w:r>
        <w:rPr>
          <w:rFonts w:hint="eastAsia" w:ascii="仿宋_GB2312" w:hAnsi="仿宋_GB2312" w:eastAsia="仿宋_GB2312" w:cs="仿宋_GB2312"/>
          <w:color w:val="000000"/>
          <w:sz w:val="32"/>
          <w:szCs w:val="32"/>
          <w:lang w:eastAsia="zh-CN"/>
        </w:rPr>
        <w:t>环境</w:t>
      </w:r>
      <w:r>
        <w:rPr>
          <w:rFonts w:hint="eastAsia" w:ascii="仿宋_GB2312" w:hAnsi="仿宋_GB2312" w:eastAsia="仿宋_GB2312" w:cs="仿宋_GB2312"/>
          <w:color w:val="000000"/>
          <w:sz w:val="32"/>
          <w:szCs w:val="32"/>
        </w:rPr>
        <w:t>攻坚方案和相关要求进行道路施工</w:t>
      </w:r>
      <w:r>
        <w:rPr>
          <w:rFonts w:hint="eastAsia" w:ascii="仿宋_GB2312" w:hAnsi="仿宋_GB2312" w:eastAsia="仿宋_GB2312" w:cs="仿宋_GB2312"/>
          <w:color w:val="000000"/>
          <w:sz w:val="32"/>
          <w:szCs w:val="32"/>
          <w:lang w:eastAsia="zh-CN"/>
        </w:rPr>
        <w:t>，按照“六个百分百”要求落实大气污染防范措施，同时落实碧水工程、土壤攻坚等环境管理要求。</w:t>
      </w:r>
      <w:r>
        <w:rPr>
          <w:rFonts w:hint="eastAsia" w:ascii="仿宋_GB2312" w:hAnsi="仿宋_GB2312" w:eastAsia="仿宋_GB2312" w:cs="仿宋_GB2312"/>
          <w:color w:val="000000"/>
          <w:sz w:val="32"/>
          <w:szCs w:val="32"/>
        </w:rPr>
        <w:t>施工现场主体使用围挡、封闭作业、料堆采取覆盖及洒水抑尘等措施；及时清理施工场地及运输路面遗撒的渣土碎石，建筑垃圾等应集中清运至建筑垃圾填埋场妥善处置；运输车辆出场前冲洗，车辆密闭运输。</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2、严格落实好大气污染防治措施。运营期项目实验室配置通风橱，产生的酸雾和有机废气经活性炭吸附装置处理后引至楼顶高空达标排放；食堂产生的油烟废气通过油烟净化器处理后达标排放。</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妥善处理固体废弃物。运营期产生的</w:t>
      </w:r>
      <w:r>
        <w:rPr>
          <w:rFonts w:hint="eastAsia" w:ascii="仿宋_GB2312" w:hAnsi="仿宋_GB2312" w:eastAsia="仿宋_GB2312" w:cs="仿宋_GB2312"/>
          <w:color w:val="000000"/>
          <w:sz w:val="32"/>
          <w:szCs w:val="32"/>
          <w:lang w:eastAsia="zh-CN"/>
        </w:rPr>
        <w:t>危险废物必须按照要求分类存放并交由有资质的机构进行回收处理；</w:t>
      </w:r>
      <w:r>
        <w:rPr>
          <w:rFonts w:hint="eastAsia" w:ascii="仿宋_GB2312" w:hAnsi="仿宋_GB2312" w:eastAsia="仿宋_GB2312" w:cs="仿宋_GB2312"/>
          <w:color w:val="000000"/>
          <w:sz w:val="32"/>
          <w:szCs w:val="32"/>
        </w:rPr>
        <w:t>生活垃圾要分类收集，由环卫部门统一运送至垃圾处理厂进行无害化处理</w:t>
      </w:r>
      <w:r>
        <w:rPr>
          <w:rFonts w:hint="eastAsia" w:ascii="仿宋_GB2312" w:hAnsi="仿宋_GB2312" w:eastAsia="仿宋_GB2312" w:cs="仿宋_GB2312"/>
          <w:color w:val="000000"/>
          <w:sz w:val="32"/>
          <w:szCs w:val="32"/>
          <w:lang w:eastAsia="zh-CN"/>
        </w:rPr>
        <w:t>。</w:t>
      </w:r>
    </w:p>
    <w:p>
      <w:pPr>
        <w:pStyle w:val="3"/>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4、严格落实水污染处理措施。运营期产生的生活污水经隔油池+化粪池预处理后排入市政管网；实验室设置单独废水收集系统，调节ph值后达标排放排入市政管网。</w:t>
      </w:r>
    </w:p>
    <w:p>
      <w:pPr>
        <w:pStyle w:val="3"/>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五、项目外排污染物应</w:t>
      </w:r>
      <w:r>
        <w:rPr>
          <w:rFonts w:hint="eastAsia" w:ascii="仿宋_GB2312" w:hAnsi="仿宋_GB2312" w:eastAsia="仿宋_GB2312" w:cs="仿宋_GB2312"/>
          <w:color w:val="000000"/>
          <w:sz w:val="32"/>
          <w:szCs w:val="32"/>
          <w:lang w:eastAsia="zh-CN"/>
        </w:rPr>
        <w:t>必须</w:t>
      </w:r>
      <w:r>
        <w:rPr>
          <w:rFonts w:hint="eastAsia" w:ascii="仿宋_GB2312" w:hAnsi="仿宋_GB2312" w:eastAsia="仿宋_GB2312" w:cs="仿宋_GB2312"/>
          <w:color w:val="000000"/>
          <w:sz w:val="32"/>
          <w:szCs w:val="32"/>
        </w:rPr>
        <w:t>按照相关污染物排放标准及环评要求执行，如果今后颁布新标准，你单位应按新标准执行。</w:t>
      </w:r>
    </w:p>
    <w:p>
      <w:pPr>
        <w:pStyle w:val="3"/>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六、本批复有效期为5年，如该项目逾期方开工建设，其环境影响报告应按照审批权限重新上报审核。</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运营</w:t>
      </w:r>
      <w:r>
        <w:rPr>
          <w:rFonts w:hint="eastAsia" w:ascii="仿宋_GB2312" w:hAnsi="仿宋_GB2312" w:eastAsia="仿宋_GB2312" w:cs="仿宋_GB2312"/>
          <w:sz w:val="32"/>
          <w:szCs w:val="32"/>
        </w:rPr>
        <w:t>过程中应严格遵守报告表中的各项污染防治措施及承诺，并由新城区环境监察大队进行日常环保监督管理。</w:t>
      </w:r>
    </w:p>
    <w:p>
      <w:pPr>
        <w:pStyle w:val="3"/>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color w:val="000000"/>
          <w:sz w:val="32"/>
          <w:szCs w:val="32"/>
        </w:rPr>
      </w:pPr>
    </w:p>
    <w:p>
      <w:pPr>
        <w:pStyle w:val="3"/>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color w:val="000000"/>
          <w:sz w:val="32"/>
          <w:szCs w:val="32"/>
        </w:rPr>
      </w:pPr>
    </w:p>
    <w:p>
      <w:pPr>
        <w:pStyle w:val="3"/>
        <w:keepNext w:val="0"/>
        <w:keepLines w:val="0"/>
        <w:pageBreakBefore w:val="0"/>
        <w:widowControl/>
        <w:kinsoku/>
        <w:wordWrap/>
        <w:overflowPunct/>
        <w:topLinePunct w:val="0"/>
        <w:autoSpaceDE/>
        <w:autoSpaceDN/>
        <w:bidi w:val="0"/>
        <w:adjustRightInd/>
        <w:snapToGrid w:val="0"/>
        <w:spacing w:line="580" w:lineRule="exact"/>
        <w:textAlignment w:val="auto"/>
        <w:outlineLvl w:val="9"/>
        <w:rPr>
          <w:rFonts w:hint="eastAsia" w:ascii="仿宋_GB2312" w:hAnsi="仿宋_GB2312" w:eastAsia="仿宋_GB2312" w:cs="仿宋_GB2312"/>
          <w:color w:val="000000"/>
          <w:sz w:val="32"/>
          <w:szCs w:val="32"/>
        </w:rPr>
      </w:pPr>
    </w:p>
    <w:p>
      <w:pPr>
        <w:pStyle w:val="3"/>
        <w:keepNext w:val="0"/>
        <w:keepLines w:val="0"/>
        <w:pageBreakBefore w:val="0"/>
        <w:widowControl/>
        <w:kinsoku/>
        <w:wordWrap/>
        <w:overflowPunct/>
        <w:topLinePunct w:val="0"/>
        <w:autoSpaceDE/>
        <w:autoSpaceDN/>
        <w:bidi w:val="0"/>
        <w:adjustRightInd/>
        <w:snapToGrid w:val="0"/>
        <w:spacing w:line="580" w:lineRule="exact"/>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19</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日</w:t>
      </w:r>
    </w:p>
    <w:p>
      <w:pPr>
        <w:spacing w:line="520" w:lineRule="exact"/>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tbl>
      <w:tblPr>
        <w:tblStyle w:val="4"/>
        <w:tblpPr w:leftFromText="180" w:rightFromText="180" w:vertAnchor="text" w:horzAnchor="page" w:tblpX="1328" w:tblpY="1150"/>
        <w:tblOverlap w:val="never"/>
        <w:tblW w:w="922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220" w:type="dxa"/>
          </w:tcPr>
          <w:p>
            <w:pPr>
              <w:spacing w:line="54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平顶山市新城区环境保护局           201</w:t>
            </w:r>
            <w:r>
              <w:rPr>
                <w:rFonts w:hint="eastAsia" w:ascii="仿宋_GB2312" w:hAnsi="仿宋_GB2312" w:eastAsia="仿宋_GB2312" w:cs="仿宋_GB2312"/>
                <w:bCs/>
                <w:sz w:val="32"/>
                <w:szCs w:val="32"/>
                <w:lang w:val="en-US" w:eastAsia="zh-CN"/>
              </w:rPr>
              <w:t>9</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12</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20</w:t>
            </w:r>
            <w:r>
              <w:rPr>
                <w:rFonts w:hint="eastAsia" w:ascii="仿宋_GB2312" w:hAnsi="仿宋_GB2312" w:eastAsia="仿宋_GB2312" w:cs="仿宋_GB2312"/>
                <w:bCs/>
                <w:sz w:val="32"/>
                <w:szCs w:val="32"/>
              </w:rPr>
              <w:t>日印发</w:t>
            </w:r>
          </w:p>
        </w:tc>
      </w:tr>
    </w:tbl>
    <w:p>
      <w:pPr>
        <w:rPr>
          <w:rFonts w:ascii="仿宋" w:hAnsi="仿宋" w:eastAsia="仿宋" w:cs="仿宋"/>
          <w:sz w:val="32"/>
          <w:szCs w:val="32"/>
        </w:rPr>
      </w:pPr>
    </w:p>
    <w:p>
      <w:pPr>
        <w:jc w:val="left"/>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仿宋" w:hAnsi="仿宋" w:eastAsia="仿宋" w:cs="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- 1 -</w:t>
                          </w:r>
                          <w:r>
                            <w:rPr>
                              <w:rFonts w:hint="eastAsia" w:ascii="仿宋" w:hAnsi="仿宋" w:eastAsia="仿宋" w:cs="仿宋"/>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- 1 -</w:t>
                    </w:r>
                    <w:r>
                      <w:rPr>
                        <w:rFonts w:hint="eastAsia" w:ascii="仿宋" w:hAnsi="仿宋" w:eastAsia="仿宋" w:cs="仿宋"/>
                        <w:sz w:val="28"/>
                        <w:szCs w:val="44"/>
                      </w:rPr>
                      <w:fldChar w:fldCharType="end"/>
                    </w:r>
                  </w:p>
                </w:txbxContent>
              </v:textbox>
            </v:shape>
          </w:pict>
        </mc:Fallback>
      </mc:AlternateContent>
    </w:r>
    <w:r>
      <w:rPr>
        <w:rFonts w:ascii="仿宋" w:hAnsi="仿宋" w:eastAsia="仿宋" w:cs="仿宋"/>
        <w:sz w:val="32"/>
        <w:szCs w:val="4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-27940</wp:posOffset>
              </wp:positionV>
              <wp:extent cx="248285" cy="205105"/>
              <wp:effectExtent l="0" t="0" r="0" b="0"/>
              <wp:wrapNone/>
              <wp:docPr id="6" name="文本框 6"/>
              <wp:cNvGraphicFramePr/>
              <a:graphic xmlns:a="http://schemas.openxmlformats.org/drawingml/2006/main">
                <a:graphicData uri="http://schemas.microsoft.com/office/word/2010/wordprocessingShape">
                  <wps:wsp>
                    <wps:cNvSpPr txBox="1"/>
                    <wps:spPr>
                      <a:xfrm>
                        <a:off x="0" y="0"/>
                        <a:ext cx="248285" cy="205105"/>
                      </a:xfrm>
                      <a:prstGeom prst="rect">
                        <a:avLst/>
                      </a:prstGeom>
                      <a:noFill/>
                      <a:ln w="6350">
                        <a:noFill/>
                      </a:ln>
                      <a:effectLst/>
                    </wps:spPr>
                    <wps:txbx>
                      <w:txbxContent>
                        <w:p>
                          <w:pPr>
                            <w:snapToGrid w:val="0"/>
                            <w:rPr>
                              <w:sz w:val="24"/>
                              <w:szCs w:val="40"/>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2pt;height:16.15pt;width:19.55pt;mso-position-horizontal:outside;mso-position-horizontal-relative:margin;z-index:251660288;mso-width-relative:page;mso-height-relative:page;" filled="f" stroked="f" coordsize="21600,21600" o:gfxdata="UEsDBAoAAAAAAIdO4kAAAAAAAAAAAAAAAAAEAAAAZHJzL1BLAwQUAAAACACHTuJAACCDPtYAAAAF&#10;AQAADwAAAGRycy9kb3ducmV2LnhtbE2PzU7DMBCE70i8g7VI3Fo7pYI2ZNMDPzeg0IIENyc2SUS8&#10;juxNWt4ec4LjaEYz3xSbo+vFZEPsPCFkcwXCUu1NRw3C6/5+tgIRWZPRvSeL8G0jbMrTk0Lnxh/o&#10;xU47bkQqoZhrhJZ5yKWMdWudjnM/WErepw9Oc5KhkSboQyp3vVwodSmd7igttHqwN62tv3ajQ+jf&#10;Y3ioFH9Mt80jP2/l+HaXPSGen2XqGgTbI/+F4Rc/oUOZmCo/komiR0hHGGG2XIJI7sU6A1EhLK7W&#10;IMtC/qcvfwBQSwMEFAAAAAgAh07iQEogqdohAgAAIQQAAA4AAABkcnMvZTJvRG9jLnhtbK1TwY7T&#10;MBC9I/EPlu80aaHVqmq6KrsqQqrYlRbE2XXsxpLtMbbbpHwA/AEnLnvnu/odjJ2mi4AT4uJMPOOZ&#10;eW/eLK47o8lB+KDAVnQ8KikRlkOt7K6iH96vX1xREiKzNdNgRUWPItDr5fNni9bNxQQa0LXwBJPY&#10;MG9dRZsY3bwoAm+EYWEETlh0SvCGRfz1u6L2rMXsRheTspwVLfjaeeAiBLy97Z10mfNLKXi8kzKI&#10;SHRFsbeYT5/PbTqL5YLNd565RvFzG+wfujBMWSx6SXXLIiN7r/5IZRT3EEDGEQdTgJSKi4wB0YzL&#10;39A8NMyJjAXJCe5CU/h/afm7w70nqq7ojBLLDI7o9O3r6fuP0+MXMkv0tC7MMerBYVzsXkOHYx7u&#10;A14m1J30Jn0RD0E/En28kCu6SDheTl5dTa6mlHB0TcrpuJymLMXTY+dDfCPAkGRU1OPsMqXssAmx&#10;Dx1CUi0La6V1np+2pEUAL6dlfnDxYHJtU6zISjinSYD6xpMVu213RrmF+oggPfQqCY6vFbayYSHe&#10;M4+yQFwo9XiHh9SAJeFsUdKA//y3+xSP00IvJS3KrKLh0555QYl+a3GOSZOD4QdjOxh2b24AlTvG&#10;JXI8m/jARz2Y0oP5iBuwSlXQxSzHWhWNg3kTe7HjBnGxWuWgvfNq1/QPUIWOxY19cDyV6Yld7SNI&#10;lTlPFPW84KzSD+owT+28M0nov/7nqKfNXv4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CCDPtYA&#10;AAAFAQAADwAAAAAAAAABACAAAAAiAAAAZHJzL2Rvd25yZXYueG1sUEsBAhQAFAAAAAgAh07iQEog&#10;qdohAgAAIQQAAA4AAAAAAAAAAQAgAAAAJQEAAGRycy9lMm9Eb2MueG1sUEsFBgAAAAAGAAYAWQEA&#10;ALgFAAAAAA==&#10;">
              <v:fill on="f" focussize="0,0"/>
              <v:stroke on="f" weight="0.5pt"/>
              <v:imagedata o:title=""/>
              <o:lock v:ext="edit" aspectratio="f"/>
              <v:textbox inset="0mm,0mm,0mm,0mm">
                <w:txbxContent>
                  <w:p>
                    <w:pPr>
                      <w:snapToGrid w:val="0"/>
                      <w:rPr>
                        <w:sz w:val="24"/>
                        <w:szCs w:val="40"/>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76B65"/>
    <w:multiLevelType w:val="singleLevel"/>
    <w:tmpl w:val="75A76B6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4792B"/>
    <w:rsid w:val="001C0E4D"/>
    <w:rsid w:val="008B7999"/>
    <w:rsid w:val="02F765C0"/>
    <w:rsid w:val="07D35492"/>
    <w:rsid w:val="088A61E5"/>
    <w:rsid w:val="0EFF5021"/>
    <w:rsid w:val="0F9A5DC1"/>
    <w:rsid w:val="14317B8D"/>
    <w:rsid w:val="1A6B0771"/>
    <w:rsid w:val="20596D16"/>
    <w:rsid w:val="22BA3C03"/>
    <w:rsid w:val="24516D3F"/>
    <w:rsid w:val="26ED54CE"/>
    <w:rsid w:val="2B57159A"/>
    <w:rsid w:val="35B03FDC"/>
    <w:rsid w:val="3671149E"/>
    <w:rsid w:val="4464792B"/>
    <w:rsid w:val="4E7A45EF"/>
    <w:rsid w:val="56F933F8"/>
    <w:rsid w:val="5A381866"/>
    <w:rsid w:val="5BC74F3E"/>
    <w:rsid w:val="6218230E"/>
    <w:rsid w:val="65C3745C"/>
    <w:rsid w:val="6808565E"/>
    <w:rsid w:val="6D535020"/>
    <w:rsid w:val="713E7C6B"/>
    <w:rsid w:val="73100D54"/>
    <w:rsid w:val="76ED1430"/>
    <w:rsid w:val="7E5A4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rPr>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p0"/>
    <w:basedOn w:val="1"/>
    <w:qFormat/>
    <w:uiPriority w:val="0"/>
    <w:pPr>
      <w:spacing w:before="100" w:beforeAutospacing="1" w:after="100" w:afterAutospacing="1"/>
    </w:pPr>
    <w:rPr>
      <w:rFonts w:ascii="宋体" w:hAnsi="宋体" w:eastAsia="宋体" w:cs="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china</Company>
  <Pages>4</Pages>
  <Words>207</Words>
  <Characters>1180</Characters>
  <Lines>9</Lines>
  <Paragraphs>2</Paragraphs>
  <TotalTime>1</TotalTime>
  <ScaleCrop>false</ScaleCrop>
  <LinksUpToDate>false</LinksUpToDate>
  <CharactersWithSpaces>1385</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2018-03-26T08:23:00Z</dcterms:created>
  <dc:creator>Administrator</dc:creator>
  <cp:lastModifiedBy>Administrator</cp:lastModifiedBy>
  <cp:lastPrinted>2019-12-20T06:48:35Z</cp:lastPrinted>
  <dcterms:modified xsi:type="dcterms:W3CDTF">2019-12-20T06:50:01Z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