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lang w:eastAsia="zh-CN"/>
        </w:rPr>
      </w:pPr>
      <w:r>
        <w:rPr>
          <w:rFonts w:hint="eastAsia" w:ascii="黑体" w:hAnsi="黑体" w:eastAsia="黑体" w:cs="黑体"/>
          <w:sz w:val="36"/>
          <w:szCs w:val="36"/>
        </w:rPr>
        <w:t>20</w:t>
      </w:r>
      <w:r>
        <w:rPr>
          <w:rFonts w:hint="eastAsia" w:ascii="黑体" w:hAnsi="黑体" w:eastAsia="黑体" w:cs="黑体"/>
          <w:sz w:val="36"/>
          <w:szCs w:val="36"/>
          <w:lang w:val="en-US" w:eastAsia="zh-CN"/>
        </w:rPr>
        <w:t>21</w:t>
      </w:r>
      <w:r>
        <w:rPr>
          <w:rFonts w:hint="eastAsia" w:ascii="黑体" w:hAnsi="黑体" w:eastAsia="黑体" w:cs="黑体"/>
          <w:sz w:val="36"/>
          <w:szCs w:val="36"/>
        </w:rPr>
        <w:t>年</w:t>
      </w:r>
      <w:r>
        <w:rPr>
          <w:rFonts w:hint="eastAsia" w:ascii="黑体" w:hAnsi="黑体" w:eastAsia="黑体" w:cs="黑体"/>
          <w:sz w:val="36"/>
          <w:szCs w:val="36"/>
          <w:lang w:eastAsia="zh-CN"/>
        </w:rPr>
        <w:t>平顶山市</w:t>
      </w:r>
      <w:r>
        <w:rPr>
          <w:rFonts w:hint="eastAsia" w:ascii="黑体" w:hAnsi="黑体" w:eastAsia="黑体" w:cs="黑体"/>
          <w:sz w:val="36"/>
          <w:szCs w:val="36"/>
        </w:rPr>
        <w:t>新城区</w:t>
      </w:r>
      <w:r>
        <w:rPr>
          <w:rFonts w:hint="eastAsia" w:ascii="黑体" w:hAnsi="黑体" w:eastAsia="黑体" w:cs="黑体"/>
          <w:sz w:val="36"/>
          <w:szCs w:val="36"/>
          <w:lang w:eastAsia="zh-CN"/>
        </w:rPr>
        <w:t>村镇办部门预算说明</w:t>
      </w:r>
    </w:p>
    <w:p>
      <w:pPr>
        <w:ind w:firstLine="3360" w:firstLineChars="700"/>
        <w:jc w:val="both"/>
        <w:rPr>
          <w:rFonts w:hint="eastAsia" w:ascii="黑体" w:hAnsi="黑体" w:eastAsia="黑体" w:cs="黑体"/>
          <w:sz w:val="48"/>
          <w:szCs w:val="48"/>
        </w:rPr>
      </w:pPr>
    </w:p>
    <w:p>
      <w:pPr>
        <w:tabs>
          <w:tab w:val="left" w:pos="7056"/>
        </w:tabs>
        <w:ind w:firstLine="3360" w:firstLineChars="700"/>
        <w:jc w:val="both"/>
        <w:rPr>
          <w:rFonts w:hint="eastAsia" w:ascii="黑体" w:hAnsi="黑体" w:eastAsia="黑体" w:cs="黑体"/>
          <w:sz w:val="48"/>
          <w:szCs w:val="48"/>
          <w:lang w:eastAsia="zh-CN"/>
        </w:rPr>
      </w:pPr>
      <w:r>
        <w:rPr>
          <w:rFonts w:hint="eastAsia" w:ascii="黑体" w:hAnsi="黑体" w:eastAsia="黑体" w:cs="黑体"/>
          <w:sz w:val="48"/>
          <w:szCs w:val="48"/>
        </w:rPr>
        <w:t>目　　录</w:t>
      </w:r>
      <w:r>
        <w:rPr>
          <w:rFonts w:hint="eastAsia" w:ascii="黑体" w:hAnsi="黑体" w:eastAsia="黑体" w:cs="黑体"/>
          <w:sz w:val="48"/>
          <w:szCs w:val="48"/>
          <w:lang w:eastAsia="zh-CN"/>
        </w:rPr>
        <w:tab/>
      </w:r>
    </w:p>
    <w:p>
      <w:pPr>
        <w:jc w:val="left"/>
        <w:rPr>
          <w:rFonts w:ascii="黑体" w:hAnsi="黑体" w:eastAsia="黑体" w:cs="黑体"/>
          <w:sz w:val="32"/>
          <w:szCs w:val="32"/>
        </w:rPr>
      </w:pPr>
      <w:r>
        <w:rPr>
          <w:rFonts w:hint="eastAsia" w:ascii="黑体" w:hAnsi="黑体" w:eastAsia="黑体" w:cs="黑体"/>
          <w:sz w:val="32"/>
          <w:szCs w:val="32"/>
        </w:rPr>
        <w:t>第一部分</w:t>
      </w:r>
      <w:r>
        <w:rPr>
          <w:rFonts w:hint="eastAsia" w:ascii="黑体" w:hAnsi="黑体" w:eastAsia="黑体" w:cs="黑体"/>
          <w:sz w:val="32"/>
          <w:szCs w:val="32"/>
          <w:lang w:val="en-US" w:eastAsia="zh-CN"/>
        </w:rPr>
        <w:t xml:space="preserve">  平顶山市新城区</w:t>
      </w:r>
      <w:r>
        <w:rPr>
          <w:rFonts w:hint="eastAsia" w:ascii="黑体" w:hAnsi="黑体" w:eastAsia="黑体" w:cs="黑体"/>
          <w:sz w:val="32"/>
          <w:szCs w:val="32"/>
          <w:lang w:eastAsia="zh-CN"/>
        </w:rPr>
        <w:t>村镇</w:t>
      </w:r>
      <w:r>
        <w:rPr>
          <w:rFonts w:hint="eastAsia" w:ascii="黑体" w:hAnsi="黑体" w:eastAsia="黑体" w:cs="黑体"/>
          <w:sz w:val="32"/>
          <w:szCs w:val="32"/>
        </w:rPr>
        <w:t>办概况</w:t>
      </w:r>
    </w:p>
    <w:p>
      <w:pPr>
        <w:numPr>
          <w:ilvl w:val="0"/>
          <w:numId w:val="0"/>
        </w:numPr>
        <w:ind w:firstLine="320" w:firstLineChars="100"/>
        <w:jc w:val="left"/>
        <w:rPr>
          <w:rFonts w:hint="eastAsia" w:ascii="仿宋" w:hAnsi="仿宋" w:eastAsia="仿宋" w:cs="仿宋"/>
          <w:sz w:val="32"/>
          <w:szCs w:val="32"/>
        </w:rPr>
      </w:pPr>
      <w:r>
        <w:rPr>
          <w:rFonts w:hint="eastAsia" w:ascii="仿宋" w:hAnsi="仿宋" w:eastAsia="仿宋" w:cs="仿宋"/>
          <w:sz w:val="32"/>
          <w:szCs w:val="32"/>
          <w:lang w:eastAsia="zh-CN"/>
        </w:rPr>
        <w:t>一、主要</w:t>
      </w:r>
      <w:r>
        <w:rPr>
          <w:rFonts w:hint="eastAsia" w:ascii="仿宋" w:hAnsi="仿宋" w:eastAsia="仿宋" w:cs="仿宋"/>
          <w:sz w:val="32"/>
          <w:szCs w:val="32"/>
        </w:rPr>
        <w:t>职责</w:t>
      </w:r>
    </w:p>
    <w:p>
      <w:pPr>
        <w:numPr>
          <w:ilvl w:val="0"/>
          <w:numId w:val="0"/>
        </w:numPr>
        <w:ind w:firstLine="320" w:firstLineChars="100"/>
        <w:jc w:val="left"/>
        <w:rPr>
          <w:rFonts w:hint="eastAsia" w:ascii="仿宋" w:hAnsi="仿宋" w:eastAsia="仿宋" w:cs="仿宋"/>
          <w:sz w:val="32"/>
          <w:szCs w:val="32"/>
          <w:lang w:eastAsia="zh-CN"/>
        </w:rPr>
      </w:pPr>
      <w:r>
        <w:rPr>
          <w:rFonts w:hint="eastAsia" w:ascii="仿宋" w:hAnsi="仿宋" w:eastAsia="仿宋" w:cs="仿宋"/>
          <w:sz w:val="32"/>
          <w:szCs w:val="32"/>
        </w:rPr>
        <w:t>二、</w:t>
      </w:r>
      <w:r>
        <w:rPr>
          <w:rFonts w:hint="eastAsia" w:ascii="仿宋" w:hAnsi="仿宋" w:eastAsia="仿宋" w:cs="仿宋"/>
          <w:sz w:val="32"/>
          <w:szCs w:val="32"/>
          <w:lang w:eastAsia="zh-CN"/>
        </w:rPr>
        <w:t>部门预算单位构成</w:t>
      </w:r>
    </w:p>
    <w:p>
      <w:pPr>
        <w:jc w:val="left"/>
        <w:rPr>
          <w:rFonts w:hint="eastAsia" w:ascii="黑体" w:hAnsi="黑体" w:eastAsia="黑体" w:cs="黑体"/>
          <w:sz w:val="32"/>
          <w:szCs w:val="32"/>
          <w:lang w:eastAsia="zh-CN"/>
        </w:rPr>
      </w:pPr>
      <w:r>
        <w:rPr>
          <w:rFonts w:hint="eastAsia" w:ascii="黑体" w:hAnsi="黑体" w:eastAsia="黑体" w:cs="黑体"/>
          <w:sz w:val="32"/>
          <w:szCs w:val="32"/>
        </w:rPr>
        <w:t>第二部分</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平顶山市新城区村镇办</w:t>
      </w:r>
      <w:r>
        <w:rPr>
          <w:rFonts w:hint="eastAsia" w:ascii="黑体" w:hAnsi="黑体" w:eastAsia="黑体" w:cs="黑体"/>
          <w:sz w:val="32"/>
          <w:szCs w:val="32"/>
        </w:rPr>
        <w:t>20</w:t>
      </w:r>
      <w:r>
        <w:rPr>
          <w:rFonts w:hint="eastAsia" w:ascii="黑体" w:hAnsi="黑体" w:eastAsia="黑体" w:cs="黑体"/>
          <w:sz w:val="32"/>
          <w:szCs w:val="32"/>
          <w:lang w:val="en-US" w:eastAsia="zh-CN"/>
        </w:rPr>
        <w:t>21</w:t>
      </w:r>
      <w:r>
        <w:rPr>
          <w:rFonts w:hint="eastAsia" w:ascii="黑体" w:hAnsi="黑体" w:eastAsia="黑体" w:cs="黑体"/>
          <w:sz w:val="32"/>
          <w:szCs w:val="32"/>
        </w:rPr>
        <w:t>年部门预算</w:t>
      </w:r>
      <w:r>
        <w:rPr>
          <w:rFonts w:hint="eastAsia" w:ascii="黑体" w:hAnsi="黑体" w:eastAsia="黑体" w:cs="黑体"/>
          <w:sz w:val="32"/>
          <w:szCs w:val="32"/>
          <w:lang w:eastAsia="zh-CN"/>
        </w:rPr>
        <w:t>情况说明</w:t>
      </w:r>
    </w:p>
    <w:p>
      <w:pPr>
        <w:jc w:val="left"/>
        <w:rPr>
          <w:rFonts w:hint="eastAsia" w:ascii="黑体" w:hAnsi="黑体" w:eastAsia="黑体" w:cs="黑体"/>
          <w:sz w:val="32"/>
          <w:szCs w:val="32"/>
          <w:lang w:eastAsia="zh-CN"/>
        </w:rPr>
      </w:pPr>
      <w:r>
        <w:rPr>
          <w:rFonts w:hint="eastAsia" w:ascii="黑体" w:hAnsi="黑体" w:eastAsia="黑体" w:cs="黑体"/>
          <w:sz w:val="32"/>
          <w:szCs w:val="32"/>
        </w:rPr>
        <w:t>第三部分　</w:t>
      </w:r>
      <w:r>
        <w:rPr>
          <w:rFonts w:hint="eastAsia" w:ascii="黑体" w:hAnsi="黑体" w:eastAsia="黑体" w:cs="黑体"/>
          <w:sz w:val="32"/>
          <w:szCs w:val="32"/>
          <w:lang w:eastAsia="zh-CN"/>
        </w:rPr>
        <w:t>名词解释</w:t>
      </w:r>
    </w:p>
    <w:p>
      <w:pPr>
        <w:jc w:val="left"/>
        <w:rPr>
          <w:rFonts w:hint="eastAsia" w:ascii="黑体" w:hAnsi="黑体" w:eastAsia="黑体" w:cs="黑体"/>
          <w:sz w:val="32"/>
          <w:szCs w:val="32"/>
          <w:lang w:eastAsia="zh-CN"/>
        </w:rPr>
      </w:pPr>
      <w:r>
        <w:rPr>
          <w:rFonts w:hint="eastAsia" w:ascii="黑体" w:hAnsi="黑体" w:eastAsia="黑体" w:cs="黑体"/>
          <w:sz w:val="32"/>
          <w:szCs w:val="32"/>
          <w:lang w:eastAsia="zh-CN"/>
        </w:rPr>
        <w:t>附件：平顶山市新城区村镇办</w:t>
      </w:r>
      <w:r>
        <w:rPr>
          <w:rFonts w:hint="eastAsia" w:ascii="黑体" w:hAnsi="黑体" w:eastAsia="黑体" w:cs="黑体"/>
          <w:sz w:val="32"/>
          <w:szCs w:val="32"/>
        </w:rPr>
        <w:t>20</w:t>
      </w:r>
      <w:r>
        <w:rPr>
          <w:rFonts w:hint="eastAsia" w:ascii="黑体" w:hAnsi="黑体" w:eastAsia="黑体" w:cs="黑体"/>
          <w:sz w:val="32"/>
          <w:szCs w:val="32"/>
          <w:lang w:val="en-US" w:eastAsia="zh-CN"/>
        </w:rPr>
        <w:t>21</w:t>
      </w:r>
      <w:r>
        <w:rPr>
          <w:rFonts w:hint="eastAsia" w:ascii="黑体" w:hAnsi="黑体" w:eastAsia="黑体" w:cs="黑体"/>
          <w:sz w:val="32"/>
          <w:szCs w:val="32"/>
        </w:rPr>
        <w:t>年部门预算</w:t>
      </w:r>
      <w:r>
        <w:rPr>
          <w:rFonts w:hint="eastAsia" w:ascii="黑体" w:hAnsi="黑体" w:eastAsia="黑体" w:cs="黑体"/>
          <w:sz w:val="32"/>
          <w:szCs w:val="32"/>
          <w:lang w:eastAsia="zh-CN"/>
        </w:rPr>
        <w:t>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部门</w:t>
      </w:r>
      <w:r>
        <w:rPr>
          <w:rFonts w:hint="eastAsia" w:ascii="仿宋" w:hAnsi="仿宋" w:eastAsia="仿宋" w:cs="仿宋"/>
          <w:sz w:val="32"/>
          <w:szCs w:val="32"/>
        </w:rPr>
        <w:t>收支</w:t>
      </w:r>
      <w:r>
        <w:rPr>
          <w:rFonts w:hint="eastAsia" w:ascii="仿宋" w:hAnsi="仿宋" w:eastAsia="仿宋" w:cs="仿宋"/>
          <w:sz w:val="32"/>
          <w:szCs w:val="32"/>
          <w:lang w:eastAsia="zh-CN"/>
        </w:rPr>
        <w:t>情况</w:t>
      </w:r>
      <w:r>
        <w:rPr>
          <w:rFonts w:hint="eastAsia" w:ascii="仿宋" w:hAnsi="仿宋" w:eastAsia="仿宋" w:cs="仿宋"/>
          <w:sz w:val="32"/>
          <w:szCs w:val="32"/>
        </w:rPr>
        <w:t>表</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二、部门收入总体情况表</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三、部门支出总体情况表</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四、财政拨款收支</w:t>
      </w:r>
      <w:r>
        <w:rPr>
          <w:rFonts w:hint="eastAsia" w:ascii="仿宋" w:hAnsi="仿宋" w:eastAsia="仿宋" w:cs="仿宋"/>
          <w:sz w:val="32"/>
          <w:szCs w:val="32"/>
          <w:lang w:eastAsia="zh-CN"/>
        </w:rPr>
        <w:t>总体情况</w:t>
      </w:r>
      <w:r>
        <w:rPr>
          <w:rFonts w:hint="eastAsia" w:ascii="仿宋" w:hAnsi="仿宋" w:eastAsia="仿宋" w:cs="仿宋"/>
          <w:sz w:val="32"/>
          <w:szCs w:val="32"/>
        </w:rPr>
        <w:t>表</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五、一般公共预算支出</w:t>
      </w:r>
      <w:r>
        <w:rPr>
          <w:rFonts w:hint="eastAsia" w:ascii="仿宋" w:hAnsi="仿宋" w:eastAsia="仿宋" w:cs="仿宋"/>
          <w:sz w:val="32"/>
          <w:szCs w:val="32"/>
          <w:lang w:eastAsia="zh-CN"/>
        </w:rPr>
        <w:t>情况</w:t>
      </w:r>
      <w:r>
        <w:rPr>
          <w:rFonts w:hint="eastAsia" w:ascii="仿宋" w:hAnsi="仿宋" w:eastAsia="仿宋" w:cs="仿宋"/>
          <w:sz w:val="32"/>
          <w:szCs w:val="32"/>
        </w:rPr>
        <w:t>表</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六、支出经济分类汇总表</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七、一般公共预算“三公”经费支出</w:t>
      </w:r>
      <w:r>
        <w:rPr>
          <w:rFonts w:hint="eastAsia" w:ascii="仿宋" w:hAnsi="仿宋" w:eastAsia="仿宋" w:cs="仿宋"/>
          <w:sz w:val="32"/>
          <w:szCs w:val="32"/>
          <w:lang w:eastAsia="zh-CN"/>
        </w:rPr>
        <w:t>情况</w:t>
      </w:r>
      <w:r>
        <w:rPr>
          <w:rFonts w:hint="eastAsia" w:ascii="仿宋" w:hAnsi="仿宋" w:eastAsia="仿宋" w:cs="仿宋"/>
          <w:sz w:val="32"/>
          <w:szCs w:val="32"/>
        </w:rPr>
        <w:t>表</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八、政府性基金预算支出</w:t>
      </w:r>
      <w:r>
        <w:rPr>
          <w:rFonts w:hint="eastAsia" w:ascii="仿宋" w:hAnsi="仿宋" w:eastAsia="仿宋" w:cs="仿宋"/>
          <w:sz w:val="32"/>
          <w:szCs w:val="32"/>
          <w:lang w:eastAsia="zh-CN"/>
        </w:rPr>
        <w:t>情况</w:t>
      </w:r>
      <w:r>
        <w:rPr>
          <w:rFonts w:hint="eastAsia" w:ascii="仿宋" w:hAnsi="仿宋" w:eastAsia="仿宋" w:cs="仿宋"/>
          <w:sz w:val="32"/>
          <w:szCs w:val="32"/>
        </w:rPr>
        <w:t>表</w:t>
      </w:r>
    </w:p>
    <w:p>
      <w:p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九、</w:t>
      </w:r>
      <w:r>
        <w:rPr>
          <w:rFonts w:hint="eastAsia" w:ascii="仿宋" w:hAnsi="仿宋" w:eastAsia="仿宋" w:cs="仿宋"/>
          <w:sz w:val="32"/>
          <w:szCs w:val="32"/>
          <w:lang w:eastAsia="zh-CN"/>
        </w:rPr>
        <w:t>部门（单位）整体绩效目标表</w:t>
      </w:r>
    </w:p>
    <w:p>
      <w:p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十、</w:t>
      </w:r>
      <w:r>
        <w:rPr>
          <w:rFonts w:hint="eastAsia" w:ascii="仿宋" w:hAnsi="仿宋" w:eastAsia="仿宋" w:cs="仿宋"/>
          <w:sz w:val="32"/>
          <w:szCs w:val="32"/>
          <w:lang w:eastAsia="zh-CN"/>
        </w:rPr>
        <w:t>部门预算项目绩效目标汇总表</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numPr>
          <w:ilvl w:val="0"/>
          <w:numId w:val="0"/>
        </w:numPr>
        <w:ind w:leftChars="-800" w:firstLine="4800" w:firstLineChars="1000"/>
        <w:jc w:val="both"/>
        <w:rPr>
          <w:rFonts w:hint="eastAsia" w:ascii="黑体" w:hAnsi="黑体" w:eastAsia="黑体" w:cs="黑体"/>
          <w:sz w:val="48"/>
          <w:szCs w:val="48"/>
        </w:rPr>
      </w:pPr>
      <w:r>
        <w:rPr>
          <w:rFonts w:hint="eastAsia" w:ascii="黑体" w:hAnsi="黑体" w:eastAsia="黑体" w:cs="黑体"/>
          <w:sz w:val="48"/>
          <w:szCs w:val="48"/>
          <w:lang w:val="en-US" w:eastAsia="zh-CN"/>
        </w:rPr>
        <w:t xml:space="preserve">第一部分 </w:t>
      </w:r>
    </w:p>
    <w:p>
      <w:pPr>
        <w:widowControl/>
        <w:numPr>
          <w:ilvl w:val="0"/>
          <w:numId w:val="0"/>
        </w:numPr>
        <w:ind w:leftChars="-800" w:firstLine="2880" w:firstLineChars="600"/>
        <w:jc w:val="both"/>
        <w:rPr>
          <w:rFonts w:hint="eastAsia" w:ascii="黑体" w:hAnsi="黑体" w:eastAsia="黑体" w:cs="黑体"/>
          <w:sz w:val="48"/>
          <w:szCs w:val="48"/>
        </w:rPr>
      </w:pPr>
      <w:r>
        <w:rPr>
          <w:rFonts w:hint="eastAsia" w:ascii="黑体" w:hAnsi="黑体" w:eastAsia="黑体" w:cs="黑体"/>
          <w:sz w:val="48"/>
          <w:szCs w:val="48"/>
          <w:lang w:eastAsia="zh-CN"/>
        </w:rPr>
        <w:t>平顶山市新城区村镇办</w:t>
      </w:r>
      <w:r>
        <w:rPr>
          <w:rFonts w:hint="eastAsia" w:ascii="黑体" w:hAnsi="黑体" w:eastAsia="黑体" w:cs="黑体"/>
          <w:sz w:val="48"/>
          <w:szCs w:val="48"/>
        </w:rPr>
        <w:t>概况</w:t>
      </w:r>
    </w:p>
    <w:p>
      <w:pPr>
        <w:widowControl/>
        <w:numPr>
          <w:ilvl w:val="0"/>
          <w:numId w:val="0"/>
        </w:numPr>
        <w:jc w:val="both"/>
        <w:rPr>
          <w:rFonts w:hint="eastAsia" w:ascii="黑体" w:hAnsi="黑体" w:eastAsia="黑体" w:cs="黑体"/>
          <w:sz w:val="48"/>
          <w:szCs w:val="48"/>
          <w:lang w:eastAsia="zh-CN"/>
        </w:rPr>
        <w:sectPr>
          <w:footerReference r:id="rId3" w:type="default"/>
          <w:pgSz w:w="11906" w:h="16838"/>
          <w:pgMar w:top="1440" w:right="1800" w:bottom="1440" w:left="1800" w:header="720" w:footer="720" w:gutter="0"/>
          <w:pgNumType w:fmt="numberInDash"/>
          <w:cols w:space="720" w:num="1"/>
          <w:docGrid w:type="lines" w:linePitch="312" w:charSpace="0"/>
        </w:sectPr>
      </w:pPr>
    </w:p>
    <w:p>
      <w:pPr>
        <w:numPr>
          <w:ilvl w:val="0"/>
          <w:numId w:val="0"/>
        </w:numPr>
        <w:rPr>
          <w:rFonts w:hint="eastAsia" w:ascii="仿宋" w:hAnsi="仿宋" w:eastAsia="仿宋" w:cs="仿宋"/>
          <w:b/>
          <w:bCs/>
          <w:sz w:val="32"/>
          <w:szCs w:val="32"/>
          <w:lang w:eastAsia="zh-CN"/>
        </w:rPr>
      </w:pPr>
      <w:r>
        <w:rPr>
          <w:rFonts w:hint="eastAsia" w:eastAsia="仿宋"/>
          <w:b/>
          <w:bCs/>
          <w:color w:val="000000"/>
          <w:sz w:val="30"/>
          <w:szCs w:val="30"/>
          <w:lang w:eastAsia="zh-CN"/>
        </w:rPr>
        <w:t>一、平顶山市新城区村镇办</w:t>
      </w:r>
      <w:r>
        <w:rPr>
          <w:rFonts w:hint="eastAsia" w:ascii="仿宋" w:hAnsi="仿宋" w:eastAsia="仿宋" w:cs="仿宋"/>
          <w:b/>
          <w:bCs/>
          <w:sz w:val="32"/>
          <w:szCs w:val="32"/>
        </w:rPr>
        <w:t>主要职</w:t>
      </w:r>
      <w:r>
        <w:rPr>
          <w:rFonts w:hint="eastAsia" w:ascii="仿宋" w:hAnsi="仿宋" w:eastAsia="仿宋" w:cs="仿宋"/>
          <w:b/>
          <w:bCs/>
          <w:sz w:val="32"/>
          <w:szCs w:val="32"/>
          <w:lang w:eastAsia="zh-CN"/>
        </w:rPr>
        <w:t>能</w:t>
      </w:r>
    </w:p>
    <w:p>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平顶山市新城区村镇办是新城区管委会工作部门，贯彻落实党中央关于村镇建设工作的方针政策和决策部署，在履行职责过程中坚持和加强党对村镇建设工作的集中统一领导。主要职责是：</w:t>
      </w:r>
    </w:p>
    <w:p>
      <w:pPr>
        <w:numPr>
          <w:ilvl w:val="0"/>
          <w:numId w:val="1"/>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负责</w:t>
      </w:r>
      <w:r>
        <w:rPr>
          <w:rFonts w:hint="eastAsia" w:ascii="仿宋" w:hAnsi="仿宋" w:eastAsia="仿宋" w:cs="仿宋"/>
          <w:sz w:val="32"/>
          <w:szCs w:val="32"/>
          <w:lang w:eastAsia="zh-CN"/>
        </w:rPr>
        <w:t>新城区村镇规划建设工作；</w:t>
      </w:r>
    </w:p>
    <w:p>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2、负责</w:t>
      </w:r>
      <w:r>
        <w:rPr>
          <w:rFonts w:hint="eastAsia" w:ascii="仿宋" w:hAnsi="仿宋" w:eastAsia="仿宋" w:cs="仿宋"/>
          <w:sz w:val="32"/>
          <w:szCs w:val="32"/>
          <w:lang w:eastAsia="zh-CN"/>
        </w:rPr>
        <w:t>美丽乡村规划建设工作；</w:t>
      </w:r>
    </w:p>
    <w:p>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3、负责</w:t>
      </w:r>
      <w:r>
        <w:rPr>
          <w:rFonts w:hint="eastAsia" w:ascii="仿宋" w:hAnsi="仿宋" w:eastAsia="仿宋" w:cs="仿宋"/>
          <w:sz w:val="32"/>
          <w:szCs w:val="32"/>
          <w:lang w:eastAsia="zh-CN"/>
        </w:rPr>
        <w:t>小城镇规划建设工作；</w:t>
      </w:r>
    </w:p>
    <w:p>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4、负责</w:t>
      </w:r>
      <w:r>
        <w:rPr>
          <w:rFonts w:hint="eastAsia" w:ascii="仿宋" w:hAnsi="仿宋" w:eastAsia="仿宋" w:cs="仿宋"/>
          <w:sz w:val="32"/>
          <w:szCs w:val="32"/>
          <w:lang w:eastAsia="zh-CN"/>
        </w:rPr>
        <w:t>乡村环境整治工作、保洁等方面工作；</w:t>
      </w:r>
    </w:p>
    <w:p>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承办新城区党工委、管委会交办的其他事项；</w:t>
      </w:r>
    </w:p>
    <w:p>
      <w:pPr>
        <w:ind w:firstLine="600" w:firstLineChars="200"/>
        <w:rPr>
          <w:rFonts w:hint="eastAsia" w:ascii="仿宋" w:hAnsi="仿宋" w:eastAsia="仿宋" w:cs="仿宋"/>
          <w:b/>
          <w:bCs/>
          <w:sz w:val="30"/>
          <w:szCs w:val="30"/>
          <w:lang w:eastAsia="zh-CN"/>
        </w:rPr>
      </w:pPr>
      <w:r>
        <w:rPr>
          <w:rFonts w:hint="eastAsia"/>
          <w:sz w:val="30"/>
          <w:szCs w:val="30"/>
        </w:rPr>
        <w:t>二、</w:t>
      </w:r>
      <w:r>
        <w:rPr>
          <w:rFonts w:hint="eastAsia" w:ascii="仿宋" w:hAnsi="仿宋" w:eastAsia="仿宋" w:cs="仿宋"/>
          <w:b/>
          <w:bCs/>
          <w:color w:val="000000"/>
          <w:sz w:val="30"/>
          <w:szCs w:val="30"/>
          <w:lang w:eastAsia="zh-CN"/>
        </w:rPr>
        <w:t>平顶山市新城区村镇办</w:t>
      </w:r>
      <w:r>
        <w:rPr>
          <w:rFonts w:hint="eastAsia" w:ascii="仿宋" w:hAnsi="仿宋" w:eastAsia="仿宋" w:cs="仿宋"/>
          <w:b/>
          <w:bCs/>
          <w:sz w:val="30"/>
          <w:szCs w:val="30"/>
          <w:lang w:eastAsia="zh-CN"/>
        </w:rPr>
        <w:t>预算单位构成</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平顶山市新城区</w:t>
      </w:r>
      <w:r>
        <w:rPr>
          <w:rFonts w:hint="eastAsia" w:ascii="仿宋" w:hAnsi="仿宋" w:eastAsia="仿宋" w:cs="仿宋"/>
          <w:sz w:val="32"/>
          <w:szCs w:val="32"/>
          <w:lang w:eastAsia="zh-CN"/>
        </w:rPr>
        <w:t>村镇办</w:t>
      </w:r>
      <w:r>
        <w:rPr>
          <w:rFonts w:hint="eastAsia" w:ascii="仿宋" w:hAnsi="仿宋" w:eastAsia="仿宋" w:cs="仿宋"/>
          <w:sz w:val="32"/>
          <w:szCs w:val="32"/>
          <w:lang w:val="en-US" w:eastAsia="zh-CN"/>
        </w:rPr>
        <w:t>2021年部门预算为本级预算无所属单位。</w:t>
      </w:r>
    </w:p>
    <w:p/>
    <w:p/>
    <w:p/>
    <w:p/>
    <w:p/>
    <w:p/>
    <w:p/>
    <w:p/>
    <w:p/>
    <w:p/>
    <w:p/>
    <w:p/>
    <w:p/>
    <w:p/>
    <w:p/>
    <w:p/>
    <w:p/>
    <w:p>
      <w:pPr>
        <w:ind w:firstLine="6240" w:firstLineChars="1300"/>
        <w:jc w:val="both"/>
        <w:rPr>
          <w:rFonts w:hint="eastAsia" w:ascii="黑体" w:hAnsi="黑体" w:eastAsia="黑体" w:cs="黑体"/>
          <w:sz w:val="48"/>
          <w:szCs w:val="48"/>
        </w:rPr>
      </w:pPr>
    </w:p>
    <w:p>
      <w:pPr>
        <w:ind w:firstLine="6240" w:firstLineChars="1300"/>
        <w:jc w:val="both"/>
        <w:rPr>
          <w:rFonts w:hint="eastAsia" w:ascii="黑体" w:hAnsi="黑体" w:eastAsia="黑体" w:cs="黑体"/>
          <w:sz w:val="48"/>
          <w:szCs w:val="48"/>
        </w:rPr>
      </w:pPr>
    </w:p>
    <w:p>
      <w:pPr>
        <w:ind w:firstLine="6240" w:firstLineChars="1300"/>
        <w:jc w:val="both"/>
        <w:rPr>
          <w:rFonts w:hint="eastAsia" w:ascii="黑体" w:hAnsi="黑体" w:eastAsia="黑体" w:cs="黑体"/>
          <w:sz w:val="48"/>
          <w:szCs w:val="48"/>
        </w:rPr>
      </w:pPr>
    </w:p>
    <w:p>
      <w:pPr>
        <w:ind w:firstLine="6240" w:firstLineChars="1300"/>
        <w:jc w:val="both"/>
        <w:rPr>
          <w:rFonts w:hint="eastAsia" w:ascii="黑体" w:hAnsi="黑体" w:eastAsia="黑体" w:cs="黑体"/>
          <w:sz w:val="48"/>
          <w:szCs w:val="48"/>
        </w:rPr>
      </w:pPr>
    </w:p>
    <w:p>
      <w:pPr>
        <w:ind w:firstLine="2880" w:firstLineChars="600"/>
        <w:jc w:val="both"/>
        <w:rPr>
          <w:rFonts w:hint="eastAsia" w:ascii="黑体" w:hAnsi="黑体" w:eastAsia="黑体" w:cs="黑体"/>
          <w:sz w:val="48"/>
          <w:szCs w:val="48"/>
        </w:rPr>
      </w:pPr>
      <w:r>
        <w:rPr>
          <w:rFonts w:hint="eastAsia" w:ascii="黑体" w:hAnsi="黑体" w:eastAsia="黑体" w:cs="黑体"/>
          <w:sz w:val="48"/>
          <w:szCs w:val="48"/>
        </w:rPr>
        <w:t>第二部分</w:t>
      </w:r>
    </w:p>
    <w:p>
      <w:pPr>
        <w:jc w:val="center"/>
        <w:rPr>
          <w:rFonts w:hint="eastAsia" w:ascii="黑体" w:hAnsi="黑体" w:eastAsia="黑体" w:cs="黑体"/>
          <w:sz w:val="48"/>
          <w:szCs w:val="48"/>
        </w:rPr>
      </w:pPr>
      <w:r>
        <w:rPr>
          <w:rFonts w:hint="eastAsia" w:ascii="黑体" w:hAnsi="黑体" w:eastAsia="黑体" w:cs="黑体"/>
          <w:sz w:val="48"/>
          <w:szCs w:val="48"/>
        </w:rPr>
        <w:t>平顶山市新城区</w:t>
      </w:r>
      <w:r>
        <w:rPr>
          <w:rFonts w:hint="eastAsia" w:ascii="黑体" w:hAnsi="黑体" w:eastAsia="黑体" w:cs="黑体"/>
          <w:sz w:val="48"/>
          <w:szCs w:val="48"/>
          <w:lang w:eastAsia="zh-CN"/>
        </w:rPr>
        <w:t>村镇办</w:t>
      </w:r>
      <w:r>
        <w:rPr>
          <w:rFonts w:hint="eastAsia" w:ascii="黑体" w:hAnsi="黑体" w:eastAsia="黑体" w:cs="黑体"/>
          <w:sz w:val="48"/>
          <w:szCs w:val="48"/>
        </w:rPr>
        <w:t>20</w:t>
      </w:r>
      <w:r>
        <w:rPr>
          <w:rFonts w:hint="eastAsia" w:ascii="黑体" w:hAnsi="黑体" w:eastAsia="黑体" w:cs="黑体"/>
          <w:sz w:val="48"/>
          <w:szCs w:val="48"/>
          <w:lang w:val="en-US" w:eastAsia="zh-CN"/>
        </w:rPr>
        <w:t>21</w:t>
      </w:r>
      <w:r>
        <w:rPr>
          <w:rFonts w:hint="eastAsia" w:ascii="黑体" w:hAnsi="黑体" w:eastAsia="黑体" w:cs="黑体"/>
          <w:sz w:val="48"/>
          <w:szCs w:val="48"/>
        </w:rPr>
        <w:t>年度部门</w:t>
      </w:r>
    </w:p>
    <w:p>
      <w:pPr>
        <w:jc w:val="center"/>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ascii="黑体" w:hAnsi="黑体" w:eastAsia="黑体" w:cs="黑体"/>
          <w:sz w:val="48"/>
          <w:szCs w:val="48"/>
          <w:lang w:eastAsia="zh-CN"/>
        </w:rPr>
        <w:t>预算情况说明</w:t>
      </w:r>
    </w:p>
    <w:p>
      <w:pPr>
        <w:widowControl/>
        <w:spacing w:line="590" w:lineRule="exact"/>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一、收入支出预算总体情况说明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 w:hAnsi="仿宋" w:eastAsia="仿宋" w:cs="仿宋"/>
          <w:sz w:val="32"/>
          <w:szCs w:val="32"/>
        </w:rPr>
        <w:t>平顶山市新城区</w:t>
      </w:r>
      <w:r>
        <w:rPr>
          <w:rFonts w:hint="eastAsia" w:ascii="仿宋" w:hAnsi="仿宋" w:eastAsia="仿宋" w:cs="仿宋"/>
          <w:sz w:val="32"/>
          <w:szCs w:val="32"/>
          <w:lang w:eastAsia="zh-CN"/>
        </w:rPr>
        <w:t>村镇办</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年度收、支总计均为</w:t>
      </w:r>
      <w:r>
        <w:rPr>
          <w:rFonts w:hint="eastAsia" w:ascii="仿宋_GB2312" w:hAnsi="仿宋_GB2312" w:eastAsia="仿宋_GB2312" w:cs="仿宋_GB2312"/>
          <w:sz w:val="32"/>
          <w:szCs w:val="32"/>
          <w:lang w:val="en-US" w:eastAsia="zh-CN"/>
        </w:rPr>
        <w:t>58.74万</w:t>
      </w:r>
      <w:r>
        <w:rPr>
          <w:rFonts w:hint="eastAsia" w:ascii="仿宋_GB2312" w:hAnsi="仿宋_GB2312" w:eastAsia="仿宋_GB2312" w:cs="仿宋_GB2312"/>
          <w:sz w:val="32"/>
          <w:szCs w:val="32"/>
        </w:rPr>
        <w:t>元。与</w:t>
      </w:r>
      <w:r>
        <w:rPr>
          <w:rFonts w:hint="eastAsia" w:ascii="仿宋_GB2312" w:hAnsi="仿宋_GB2312" w:eastAsia="仿宋_GB2312" w:cs="仿宋_GB2312"/>
          <w:sz w:val="32"/>
          <w:szCs w:val="32"/>
          <w:lang w:eastAsia="zh-CN"/>
        </w:rPr>
        <w:t>上</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预算</w:t>
      </w:r>
      <w:r>
        <w:rPr>
          <w:rFonts w:hint="eastAsia" w:ascii="仿宋_GB2312" w:hAnsi="仿宋_GB2312" w:eastAsia="仿宋_GB2312" w:cs="仿宋_GB2312"/>
          <w:sz w:val="32"/>
          <w:szCs w:val="32"/>
        </w:rPr>
        <w:t>相比，收、支总计各减少</w:t>
      </w:r>
      <w:r>
        <w:rPr>
          <w:rFonts w:hint="eastAsia" w:ascii="仿宋_GB2312" w:hAnsi="仿宋_GB2312" w:eastAsia="仿宋_GB2312" w:cs="仿宋_GB2312"/>
          <w:sz w:val="32"/>
          <w:szCs w:val="32"/>
          <w:lang w:val="en-US" w:eastAsia="zh-CN"/>
        </w:rPr>
        <w:t>2.53万</w:t>
      </w:r>
      <w:r>
        <w:rPr>
          <w:rFonts w:hint="eastAsia" w:ascii="仿宋_GB2312" w:hAnsi="仿宋_GB2312" w:eastAsia="仿宋_GB2312" w:cs="仿宋_GB2312"/>
          <w:sz w:val="32"/>
          <w:szCs w:val="32"/>
        </w:rPr>
        <w:t>元。主要原因是</w:t>
      </w:r>
      <w:r>
        <w:rPr>
          <w:rFonts w:hint="eastAsia" w:ascii="仿宋_GB2312" w:hAnsi="仿宋_GB2312" w:eastAsia="仿宋_GB2312" w:cs="仿宋_GB2312"/>
          <w:sz w:val="32"/>
          <w:szCs w:val="32"/>
          <w:lang w:eastAsia="zh-CN"/>
        </w:rPr>
        <w:t>历行节约，压缩支出</w:t>
      </w:r>
      <w:r>
        <w:rPr>
          <w:rFonts w:hint="eastAsia" w:ascii="仿宋_GB2312" w:hAnsi="仿宋_GB2312" w:eastAsia="仿宋_GB2312" w:cs="仿宋_GB2312"/>
          <w:sz w:val="32"/>
          <w:szCs w:val="32"/>
        </w:rPr>
        <w:t>。</w:t>
      </w:r>
    </w:p>
    <w:p>
      <w:pPr>
        <w:widowControl/>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二、收入预算情况说明</w:t>
      </w:r>
    </w:p>
    <w:p>
      <w:pPr>
        <w:widowControl/>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年度收入合计</w:t>
      </w:r>
      <w:r>
        <w:rPr>
          <w:rFonts w:hint="eastAsia" w:ascii="仿宋_GB2312" w:hAnsi="仿宋_GB2312" w:eastAsia="仿宋_GB2312" w:cs="仿宋_GB2312"/>
          <w:sz w:val="32"/>
          <w:szCs w:val="32"/>
          <w:lang w:val="en-US" w:eastAsia="zh-CN"/>
        </w:rPr>
        <w:t>58.74万</w:t>
      </w:r>
      <w:r>
        <w:rPr>
          <w:rFonts w:hint="eastAsia" w:ascii="仿宋_GB2312" w:hAnsi="仿宋_GB2312" w:eastAsia="仿宋_GB2312" w:cs="仿宋_GB2312"/>
          <w:sz w:val="32"/>
          <w:szCs w:val="32"/>
        </w:rPr>
        <w:t>元，其中：</w:t>
      </w:r>
      <w:r>
        <w:rPr>
          <w:rFonts w:hint="eastAsia" w:ascii="仿宋_GB2312" w:hAnsi="仿宋_GB2312" w:eastAsia="仿宋_GB2312" w:cs="仿宋_GB2312"/>
          <w:sz w:val="32"/>
          <w:szCs w:val="32"/>
          <w:lang w:eastAsia="zh-CN"/>
        </w:rPr>
        <w:t>一般公共预算</w:t>
      </w:r>
      <w:r>
        <w:rPr>
          <w:rFonts w:hint="eastAsia" w:ascii="仿宋_GB2312" w:hAnsi="仿宋_GB2312" w:eastAsia="仿宋_GB2312" w:cs="仿宋_GB2312"/>
          <w:sz w:val="32"/>
          <w:szCs w:val="32"/>
          <w:lang w:val="en-US" w:eastAsia="zh-CN"/>
        </w:rPr>
        <w:t>58.74万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政府性基金</w:t>
      </w:r>
      <w:r>
        <w:rPr>
          <w:rFonts w:hint="eastAsia" w:ascii="仿宋_GB2312" w:hAnsi="仿宋_GB2312" w:eastAsia="仿宋_GB2312" w:cs="仿宋_GB2312"/>
          <w:sz w:val="32"/>
          <w:szCs w:val="32"/>
          <w:lang w:val="en-US" w:eastAsia="zh-CN"/>
        </w:rPr>
        <w:t>0.0万元，专户管理的教育收费0.0万元</w:t>
      </w:r>
    </w:p>
    <w:p>
      <w:pPr>
        <w:widowControl/>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三、支出预算</w:t>
      </w:r>
      <w:r>
        <w:rPr>
          <w:rFonts w:hint="eastAsia" w:ascii="黑体" w:hAnsi="黑体" w:eastAsia="黑体" w:cs="黑体"/>
          <w:sz w:val="32"/>
          <w:szCs w:val="32"/>
          <w:lang w:eastAsia="zh-CN"/>
        </w:rPr>
        <w:t>总体</w:t>
      </w:r>
      <w:r>
        <w:rPr>
          <w:rFonts w:hint="eastAsia" w:ascii="黑体" w:hAnsi="黑体" w:eastAsia="黑体" w:cs="黑体"/>
          <w:sz w:val="32"/>
          <w:szCs w:val="32"/>
        </w:rPr>
        <w:t>情况说明</w:t>
      </w:r>
    </w:p>
    <w:p>
      <w:pPr>
        <w:widowControl/>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 w:hAnsi="仿宋" w:eastAsia="仿宋" w:cs="仿宋"/>
          <w:sz w:val="32"/>
          <w:szCs w:val="32"/>
        </w:rPr>
        <w:t>平顶山市新城区</w:t>
      </w:r>
      <w:r>
        <w:rPr>
          <w:rFonts w:hint="eastAsia" w:ascii="仿宋" w:hAnsi="仿宋" w:eastAsia="仿宋" w:cs="仿宋"/>
          <w:sz w:val="32"/>
          <w:szCs w:val="32"/>
          <w:lang w:eastAsia="zh-CN"/>
        </w:rPr>
        <w:t>村镇办</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年度支出</w:t>
      </w:r>
      <w:r>
        <w:rPr>
          <w:rFonts w:hint="eastAsia" w:ascii="仿宋_GB2312" w:hAnsi="仿宋_GB2312" w:eastAsia="仿宋_GB2312" w:cs="仿宋_GB2312"/>
          <w:sz w:val="32"/>
          <w:szCs w:val="32"/>
          <w:lang w:eastAsia="zh-CN"/>
        </w:rPr>
        <w:t>预算</w:t>
      </w:r>
      <w:r>
        <w:rPr>
          <w:rFonts w:hint="eastAsia" w:ascii="仿宋_GB2312" w:hAnsi="仿宋_GB2312" w:eastAsia="仿宋_GB2312" w:cs="仿宋_GB2312"/>
          <w:sz w:val="32"/>
          <w:szCs w:val="32"/>
          <w:lang w:val="en-US" w:eastAsia="zh-CN"/>
        </w:rPr>
        <w:t>58.74万</w:t>
      </w:r>
      <w:r>
        <w:rPr>
          <w:rFonts w:hint="eastAsia" w:ascii="仿宋_GB2312" w:hAnsi="仿宋_GB2312" w:eastAsia="仿宋_GB2312" w:cs="仿宋_GB2312"/>
          <w:sz w:val="32"/>
          <w:szCs w:val="32"/>
        </w:rPr>
        <w:t>元，其中：基本支出</w:t>
      </w:r>
      <w:r>
        <w:rPr>
          <w:rFonts w:hint="eastAsia" w:ascii="仿宋_GB2312" w:hAnsi="仿宋_GB2312" w:eastAsia="仿宋_GB2312" w:cs="仿宋_GB2312"/>
          <w:sz w:val="32"/>
          <w:szCs w:val="32"/>
          <w:lang w:val="en-US" w:eastAsia="zh-CN"/>
        </w:rPr>
        <w:t>58.72万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eastAsia="zh-CN"/>
        </w:rPr>
        <w:t>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val="en-US" w:eastAsia="zh-CN"/>
        </w:rPr>
        <w:t>。</w:t>
      </w:r>
    </w:p>
    <w:p>
      <w:pPr>
        <w:widowControl/>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四、财政拨款收入支出预算总体情况说明</w:t>
      </w:r>
    </w:p>
    <w:p>
      <w:pPr>
        <w:widowControl/>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 w:hAnsi="仿宋" w:eastAsia="仿宋" w:cs="仿宋"/>
          <w:sz w:val="32"/>
          <w:szCs w:val="32"/>
        </w:rPr>
        <w:t>平顶山市新城区</w:t>
      </w:r>
      <w:r>
        <w:rPr>
          <w:rFonts w:hint="eastAsia" w:ascii="仿宋" w:hAnsi="仿宋" w:eastAsia="仿宋" w:cs="仿宋"/>
          <w:sz w:val="32"/>
          <w:szCs w:val="32"/>
          <w:lang w:eastAsia="zh-CN"/>
        </w:rPr>
        <w:t>村镇办</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一般公共预算</w:t>
      </w:r>
      <w:r>
        <w:rPr>
          <w:rFonts w:hint="eastAsia" w:ascii="仿宋_GB2312" w:hAnsi="仿宋_GB2312" w:eastAsia="仿宋_GB2312" w:cs="仿宋_GB2312"/>
          <w:sz w:val="32"/>
          <w:szCs w:val="32"/>
        </w:rPr>
        <w:t>收</w:t>
      </w:r>
      <w:r>
        <w:rPr>
          <w:rFonts w:hint="eastAsia" w:ascii="仿宋_GB2312" w:hAnsi="仿宋_GB2312" w:eastAsia="仿宋_GB2312" w:cs="仿宋_GB2312"/>
          <w:sz w:val="32"/>
          <w:szCs w:val="32"/>
          <w:lang w:eastAsia="zh-CN"/>
        </w:rPr>
        <w:t>支预算</w:t>
      </w:r>
      <w:r>
        <w:rPr>
          <w:rFonts w:hint="eastAsia" w:ascii="仿宋_GB2312" w:hAnsi="仿宋_GB2312" w:eastAsia="仿宋_GB2312" w:cs="仿宋_GB2312"/>
          <w:sz w:val="32"/>
          <w:szCs w:val="32"/>
          <w:lang w:val="en-US" w:eastAsia="zh-CN"/>
        </w:rPr>
        <w:t>58.74万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与上年相比，一般公共预算收支预算减少</w:t>
      </w:r>
      <w:r>
        <w:rPr>
          <w:rFonts w:hint="eastAsia" w:ascii="仿宋_GB2312" w:hAnsi="仿宋_GB2312" w:eastAsia="仿宋_GB2312" w:cs="仿宋_GB2312"/>
          <w:sz w:val="32"/>
          <w:szCs w:val="32"/>
          <w:lang w:val="en-US" w:eastAsia="zh-CN"/>
        </w:rPr>
        <w:t>2.53万元，下降0.4%，主要原因：厉行节约，压缩支出。</w:t>
      </w:r>
    </w:p>
    <w:p>
      <w:pPr>
        <w:widowControl/>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五、一般公共预算支出</w:t>
      </w:r>
      <w:r>
        <w:rPr>
          <w:rFonts w:hint="eastAsia" w:ascii="黑体" w:hAnsi="黑体" w:eastAsia="黑体" w:cs="黑体"/>
          <w:sz w:val="32"/>
          <w:szCs w:val="32"/>
          <w:lang w:eastAsia="zh-CN"/>
        </w:rPr>
        <w:t>预</w:t>
      </w:r>
      <w:r>
        <w:rPr>
          <w:rFonts w:hint="eastAsia" w:ascii="黑体" w:hAnsi="黑体" w:eastAsia="黑体" w:cs="黑体"/>
          <w:sz w:val="32"/>
          <w:szCs w:val="32"/>
        </w:rPr>
        <w:t>算情况说明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 w:hAnsi="仿宋" w:eastAsia="仿宋" w:cs="仿宋"/>
          <w:sz w:val="32"/>
          <w:szCs w:val="32"/>
        </w:rPr>
        <w:t>平顶山市新城区</w:t>
      </w:r>
      <w:r>
        <w:rPr>
          <w:rFonts w:hint="eastAsia" w:ascii="仿宋" w:hAnsi="仿宋" w:eastAsia="仿宋" w:cs="仿宋"/>
          <w:sz w:val="32"/>
          <w:szCs w:val="32"/>
          <w:lang w:eastAsia="zh-CN"/>
        </w:rPr>
        <w:t>村镇办</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年一般公共预算</w:t>
      </w:r>
      <w:r>
        <w:rPr>
          <w:rFonts w:hint="eastAsia" w:ascii="仿宋_GB2312" w:hAnsi="仿宋_GB2312" w:eastAsia="仿宋_GB2312" w:cs="仿宋_GB2312"/>
          <w:sz w:val="32"/>
          <w:szCs w:val="32"/>
          <w:lang w:eastAsia="zh-CN"/>
        </w:rPr>
        <w:t>支出年初预算为</w:t>
      </w:r>
      <w:r>
        <w:rPr>
          <w:rFonts w:hint="eastAsia" w:ascii="仿宋_GB2312" w:hAnsi="仿宋_GB2312" w:eastAsia="仿宋_GB2312" w:cs="仿宋_GB2312"/>
          <w:sz w:val="32"/>
          <w:szCs w:val="32"/>
          <w:lang w:val="en-US" w:eastAsia="zh-CN"/>
        </w:rPr>
        <w:t>58.74万元，主要用于以下方面：社会保障和就业（类）支出5.78万元，占9.8%，卫生健康（类）支出3.29万元，占5.6%，住房保障（类）支出2.74万元，占4.7%。</w:t>
      </w:r>
    </w:p>
    <w:p>
      <w:pPr>
        <w:widowControl/>
        <w:numPr>
          <w:ilvl w:val="0"/>
          <w:numId w:val="2"/>
        </w:numPr>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支出预算经济分类</w:t>
      </w:r>
      <w:r>
        <w:rPr>
          <w:rFonts w:hint="eastAsia" w:ascii="黑体" w:hAnsi="黑体" w:eastAsia="黑体" w:cs="黑体"/>
          <w:sz w:val="32"/>
          <w:szCs w:val="32"/>
        </w:rPr>
        <w:t>情况说明</w:t>
      </w:r>
    </w:p>
    <w:p>
      <w:pPr>
        <w:widowControl/>
        <w:numPr>
          <w:ilvl w:val="0"/>
          <w:numId w:val="0"/>
        </w:numPr>
        <w:spacing w:line="590" w:lineRule="exact"/>
        <w:ind w:firstLine="640" w:firstLineChars="200"/>
        <w:rPr>
          <w:rFonts w:hint="eastAsia" w:ascii="黑体" w:hAnsi="黑体" w:eastAsia="黑体" w:cs="黑体"/>
          <w:sz w:val="32"/>
          <w:szCs w:val="32"/>
          <w:lang w:val="en-US" w:eastAsia="zh-CN"/>
        </w:rPr>
      </w:pPr>
      <w:r>
        <w:rPr>
          <w:rFonts w:hint="eastAsia" w:ascii="仿宋" w:hAnsi="仿宋" w:eastAsia="仿宋" w:cs="仿宋"/>
          <w:sz w:val="32"/>
          <w:szCs w:val="32"/>
          <w:lang w:eastAsia="zh-CN"/>
        </w:rPr>
        <w:t>按照《财政部关于印发（支了经济分类科目改革方案）的通知》（财预【</w:t>
      </w:r>
      <w:r>
        <w:rPr>
          <w:rFonts w:hint="eastAsia" w:ascii="仿宋" w:hAnsi="仿宋" w:eastAsia="仿宋" w:cs="仿宋"/>
          <w:sz w:val="32"/>
          <w:szCs w:val="32"/>
          <w:lang w:val="en-US" w:eastAsia="zh-CN"/>
        </w:rPr>
        <w:t>2017</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98号</w:t>
      </w:r>
      <w:r>
        <w:rPr>
          <w:rFonts w:hint="eastAsia" w:ascii="仿宋" w:hAnsi="仿宋" w:eastAsia="仿宋" w:cs="仿宋"/>
          <w:sz w:val="32"/>
          <w:szCs w:val="32"/>
          <w:lang w:eastAsia="zh-CN"/>
        </w:rPr>
        <w:t>）要求，从</w:t>
      </w:r>
      <w:r>
        <w:rPr>
          <w:rFonts w:hint="eastAsia" w:ascii="仿宋" w:hAnsi="仿宋" w:eastAsia="仿宋" w:cs="仿宋"/>
          <w:sz w:val="32"/>
          <w:szCs w:val="32"/>
          <w:lang w:val="en-US" w:eastAsia="zh-CN"/>
        </w:rPr>
        <w:t>2018年起全面实施支出经济分类科目改革，根据政府预算管理部门预算管理的不同特点，分设部门预算支出经济分类科目和政府预算支出经济分类科目，两套科目之间保持对应关系。为适应改革要求，我单位《支出经济分类汇总表》从2018年起从仅反映一般公共预算基本支出经济分类科目预算调整为两套经济分类科目分别反应不同资金来源的全部预算支出。</w:t>
      </w:r>
    </w:p>
    <w:p>
      <w:pPr>
        <w:widowControl/>
        <w:numPr>
          <w:ilvl w:val="0"/>
          <w:numId w:val="2"/>
        </w:numPr>
        <w:spacing w:line="590" w:lineRule="exact"/>
        <w:ind w:left="0" w:leftChars="0"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政府性基金预算支出情况说明</w:t>
      </w:r>
    </w:p>
    <w:p>
      <w:pPr>
        <w:widowControl/>
        <w:numPr>
          <w:ilvl w:val="0"/>
          <w:numId w:val="0"/>
        </w:numPr>
        <w:spacing w:line="590" w:lineRule="exact"/>
        <w:ind w:leftChars="200"/>
        <w:rPr>
          <w:rFonts w:hint="eastAsia" w:ascii="黑体" w:hAnsi="黑体" w:eastAsia="黑体" w:cs="黑体"/>
          <w:sz w:val="32"/>
          <w:szCs w:val="32"/>
          <w:lang w:eastAsia="zh-CN"/>
        </w:rPr>
      </w:pPr>
      <w:r>
        <w:rPr>
          <w:rFonts w:hint="eastAsia" w:ascii="仿宋" w:hAnsi="仿宋" w:eastAsia="仿宋" w:cs="仿宋"/>
          <w:sz w:val="32"/>
          <w:szCs w:val="32"/>
        </w:rPr>
        <w:t>平顶山市新城区</w:t>
      </w:r>
      <w:r>
        <w:rPr>
          <w:rFonts w:hint="eastAsia" w:ascii="仿宋" w:hAnsi="仿宋" w:eastAsia="仿宋" w:cs="仿宋"/>
          <w:sz w:val="32"/>
          <w:szCs w:val="32"/>
          <w:lang w:eastAsia="zh-CN"/>
        </w:rPr>
        <w:t>村镇办</w:t>
      </w:r>
      <w:r>
        <w:rPr>
          <w:rFonts w:hint="eastAsia" w:ascii="仿宋" w:hAnsi="仿宋" w:eastAsia="仿宋" w:cs="仿宋"/>
          <w:sz w:val="32"/>
          <w:szCs w:val="32"/>
          <w:lang w:val="en-US" w:eastAsia="zh-CN"/>
        </w:rPr>
        <w:t>2021</w:t>
      </w:r>
      <w:r>
        <w:rPr>
          <w:rFonts w:hint="eastAsia" w:ascii="仿宋" w:hAnsi="仿宋" w:eastAsia="仿宋" w:cs="仿宋"/>
          <w:sz w:val="32"/>
          <w:szCs w:val="32"/>
          <w:lang w:eastAsia="zh-CN"/>
        </w:rPr>
        <w:t>年无使用政府性基金预算拨款安排的支出。</w:t>
      </w:r>
    </w:p>
    <w:p>
      <w:pPr>
        <w:widowControl/>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“三公”经费支出决算情况说明</w:t>
      </w:r>
    </w:p>
    <w:p>
      <w:pPr>
        <w:widowControl/>
        <w:spacing w:line="590" w:lineRule="exact"/>
        <w:ind w:firstLine="640" w:firstLineChars="200"/>
        <w:rPr>
          <w:rFonts w:hint="eastAsia" w:ascii="楷体_GB2312" w:hAnsi="楷体_GB2312" w:eastAsia="楷体_GB2312" w:cs="楷体_GB2312"/>
          <w:sz w:val="32"/>
          <w:szCs w:val="32"/>
        </w:rPr>
      </w:pPr>
      <w:r>
        <w:rPr>
          <w:rFonts w:hint="eastAsia" w:ascii="仿宋" w:hAnsi="仿宋" w:eastAsia="仿宋" w:cs="仿宋"/>
          <w:sz w:val="32"/>
          <w:szCs w:val="32"/>
        </w:rPr>
        <w:t>平顶山市新城区</w:t>
      </w:r>
      <w:r>
        <w:rPr>
          <w:rFonts w:hint="eastAsia" w:ascii="仿宋" w:hAnsi="仿宋" w:eastAsia="仿宋" w:cs="仿宋"/>
          <w:sz w:val="32"/>
          <w:szCs w:val="32"/>
          <w:lang w:eastAsia="zh-CN"/>
        </w:rPr>
        <w:t>村镇办</w:t>
      </w:r>
      <w:r>
        <w:rPr>
          <w:rFonts w:hint="eastAsia" w:ascii="仿宋" w:hAnsi="仿宋" w:eastAsia="仿宋" w:cs="仿宋"/>
          <w:sz w:val="32"/>
          <w:szCs w:val="32"/>
          <w:lang w:val="en-US" w:eastAsia="zh-CN"/>
        </w:rPr>
        <w:t>2021年</w:t>
      </w:r>
      <w:r>
        <w:rPr>
          <w:rFonts w:hint="eastAsia" w:ascii="楷体_GB2312" w:hAnsi="楷体_GB2312" w:eastAsia="楷体_GB2312" w:cs="楷体_GB2312"/>
          <w:sz w:val="32"/>
          <w:szCs w:val="32"/>
        </w:rPr>
        <w:t>“三公”经费</w:t>
      </w:r>
      <w:r>
        <w:rPr>
          <w:rFonts w:hint="eastAsia" w:ascii="楷体_GB2312" w:hAnsi="楷体_GB2312" w:eastAsia="楷体_GB2312" w:cs="楷体_GB2312"/>
          <w:sz w:val="32"/>
          <w:szCs w:val="32"/>
          <w:lang w:eastAsia="zh-CN"/>
        </w:rPr>
        <w:t>预算</w:t>
      </w:r>
      <w:r>
        <w:rPr>
          <w:rFonts w:hint="eastAsia" w:ascii="楷体_GB2312" w:hAnsi="楷体_GB2312" w:eastAsia="楷体_GB2312" w:cs="楷体_GB2312"/>
          <w:sz w:val="32"/>
          <w:szCs w:val="32"/>
          <w:lang w:val="en-US" w:eastAsia="zh-CN"/>
        </w:rPr>
        <w:t>0.001万元</w:t>
      </w:r>
      <w:r>
        <w:rPr>
          <w:rFonts w:hint="eastAsia" w:ascii="楷体_GB2312" w:hAnsi="楷体_GB2312" w:eastAsia="楷体_GB2312" w:cs="楷体_GB2312"/>
          <w:sz w:val="32"/>
          <w:szCs w:val="32"/>
        </w:rPr>
        <w:t>。</w:t>
      </w:r>
    </w:p>
    <w:p>
      <w:pPr>
        <w:widowControl/>
        <w:shd w:val="clear" w:color="auto" w:fill="FFFFFF"/>
        <w:spacing w:line="375" w:lineRule="atLeast"/>
        <w:ind w:firstLine="640" w:firstLineChars="200"/>
        <w:jc w:val="left"/>
        <w:rPr>
          <w:rFonts w:ascii="仿宋" w:hAnsi="仿宋" w:eastAsia="仿宋" w:cs="Arial"/>
          <w:kern w:val="0"/>
          <w:sz w:val="32"/>
          <w:szCs w:val="32"/>
        </w:rPr>
      </w:pPr>
      <w:r>
        <w:rPr>
          <w:rFonts w:hint="eastAsia" w:ascii="仿宋" w:hAnsi="仿宋" w:eastAsia="仿宋" w:cs="Arial"/>
          <w:color w:val="000000"/>
          <w:kern w:val="0"/>
          <w:sz w:val="32"/>
          <w:szCs w:val="32"/>
          <w:shd w:val="clear" w:color="auto" w:fill="FFFFFF"/>
        </w:rPr>
        <w:t>具体支出情况如下</w:t>
      </w:r>
      <w:r>
        <w:rPr>
          <w:rFonts w:ascii="仿宋" w:hAnsi="仿宋" w:eastAsia="仿宋" w:cs="Arial"/>
          <w:color w:val="000000"/>
          <w:kern w:val="0"/>
          <w:sz w:val="32"/>
          <w:szCs w:val="32"/>
          <w:shd w:val="clear" w:color="auto" w:fill="FFFFFF"/>
        </w:rPr>
        <w:t>：</w:t>
      </w:r>
    </w:p>
    <w:p>
      <w:pPr>
        <w:autoSpaceDE w:val="0"/>
        <w:autoSpaceDN w:val="0"/>
        <w:adjustRightInd w:val="0"/>
        <w:ind w:firstLine="640"/>
        <w:jc w:val="left"/>
        <w:rPr>
          <w:rFonts w:hint="eastAsia" w:ascii="仿宋_GB2312" w:eastAsia="仿宋_GB2312" w:cs="仿宋"/>
          <w:sz w:val="32"/>
          <w:szCs w:val="32"/>
        </w:rPr>
      </w:pPr>
      <w:r>
        <w:rPr>
          <w:rFonts w:ascii="仿宋" w:hAnsi="仿宋" w:eastAsia="仿宋" w:cs="Arial"/>
          <w:b/>
          <w:bCs/>
          <w:color w:val="000000"/>
          <w:kern w:val="0"/>
          <w:sz w:val="32"/>
          <w:szCs w:val="32"/>
          <w:shd w:val="clear" w:color="auto" w:fill="FFFFFF"/>
        </w:rPr>
        <w:t>（一）因公出国（境）费</w:t>
      </w:r>
      <w:r>
        <w:rPr>
          <w:rFonts w:hint="eastAsia" w:ascii="仿宋" w:hAnsi="仿宋" w:eastAsia="仿宋" w:cs="Arial"/>
          <w:color w:val="000000"/>
          <w:kern w:val="0"/>
          <w:sz w:val="32"/>
          <w:szCs w:val="32"/>
          <w:shd w:val="clear" w:color="auto" w:fill="FFFFFF"/>
        </w:rPr>
        <w:t>0.0</w:t>
      </w:r>
      <w:r>
        <w:rPr>
          <w:rFonts w:ascii="仿宋" w:hAnsi="仿宋" w:eastAsia="仿宋" w:cs="Arial"/>
          <w:b/>
          <w:bCs/>
          <w:color w:val="000000"/>
          <w:kern w:val="0"/>
          <w:sz w:val="32"/>
          <w:szCs w:val="32"/>
          <w:shd w:val="clear" w:color="auto" w:fill="FFFFFF"/>
        </w:rPr>
        <w:t>万元</w:t>
      </w:r>
      <w:r>
        <w:rPr>
          <w:rFonts w:ascii="仿宋" w:hAnsi="仿宋" w:eastAsia="仿宋" w:cs="Arial"/>
          <w:color w:val="000000"/>
          <w:kern w:val="0"/>
          <w:sz w:val="32"/>
          <w:szCs w:val="32"/>
          <w:shd w:val="clear" w:color="auto" w:fill="FFFFFF"/>
        </w:rPr>
        <w:t>，</w:t>
      </w:r>
      <w:r>
        <w:rPr>
          <w:rFonts w:hint="eastAsia" w:ascii="仿宋" w:hAnsi="仿宋" w:eastAsia="仿宋" w:cs="Arial"/>
          <w:color w:val="000000"/>
          <w:kern w:val="0"/>
          <w:sz w:val="32"/>
          <w:szCs w:val="32"/>
          <w:shd w:val="clear" w:color="auto" w:fill="FFFFFF"/>
        </w:rPr>
        <w:t>与</w:t>
      </w:r>
      <w:r>
        <w:rPr>
          <w:rFonts w:hint="eastAsia" w:ascii="仿宋" w:hAnsi="仿宋" w:eastAsia="仿宋" w:cs="Arial"/>
          <w:color w:val="000000"/>
          <w:kern w:val="0"/>
          <w:sz w:val="32"/>
          <w:szCs w:val="32"/>
          <w:shd w:val="clear" w:color="auto" w:fill="FFFFFF"/>
          <w:lang w:val="en-US" w:eastAsia="zh-CN"/>
        </w:rPr>
        <w:t>2020</w:t>
      </w:r>
      <w:r>
        <w:rPr>
          <w:rFonts w:hint="eastAsia" w:ascii="仿宋" w:hAnsi="仿宋" w:eastAsia="仿宋" w:cs="Arial"/>
          <w:color w:val="000000"/>
          <w:kern w:val="0"/>
          <w:sz w:val="32"/>
          <w:szCs w:val="32"/>
          <w:shd w:val="clear" w:color="auto" w:fill="FFFFFF"/>
        </w:rPr>
        <w:t>年保持一致，</w:t>
      </w:r>
      <w:r>
        <w:rPr>
          <w:rFonts w:ascii="仿宋" w:hAnsi="仿宋" w:eastAsia="仿宋" w:cs="Arial"/>
          <w:color w:val="000000"/>
          <w:kern w:val="0"/>
          <w:sz w:val="32"/>
          <w:szCs w:val="32"/>
          <w:shd w:val="clear" w:color="auto" w:fill="FFFFFF"/>
        </w:rPr>
        <w:t>主要原因是</w:t>
      </w:r>
      <w:r>
        <w:rPr>
          <w:rFonts w:hint="eastAsia" w:ascii="仿宋" w:hAnsi="仿宋" w:eastAsia="仿宋" w:cs="Arial"/>
          <w:color w:val="000000"/>
          <w:kern w:val="0"/>
          <w:sz w:val="32"/>
          <w:szCs w:val="32"/>
          <w:shd w:val="clear" w:color="auto" w:fill="FFFFFF"/>
        </w:rPr>
        <w:t>无因公出国（</w:t>
      </w:r>
      <w:r>
        <w:rPr>
          <w:rFonts w:ascii="仿宋" w:hAnsi="仿宋" w:eastAsia="仿宋" w:cs="Arial"/>
          <w:color w:val="000000"/>
          <w:kern w:val="0"/>
          <w:sz w:val="32"/>
          <w:szCs w:val="32"/>
          <w:shd w:val="clear" w:color="auto" w:fill="FFFFFF"/>
        </w:rPr>
        <w:t>境</w:t>
      </w:r>
      <w:r>
        <w:rPr>
          <w:rFonts w:hint="eastAsia" w:ascii="仿宋" w:hAnsi="仿宋" w:eastAsia="仿宋" w:cs="Arial"/>
          <w:color w:val="000000"/>
          <w:kern w:val="0"/>
          <w:sz w:val="32"/>
          <w:szCs w:val="32"/>
          <w:shd w:val="clear" w:color="auto" w:fill="FFFFFF"/>
        </w:rPr>
        <w:t>）计划。</w:t>
      </w:r>
    </w:p>
    <w:p>
      <w:pPr>
        <w:widowControl/>
        <w:spacing w:line="590" w:lineRule="exact"/>
        <w:ind w:firstLine="643" w:firstLineChars="200"/>
        <w:rPr>
          <w:rFonts w:hint="eastAsia" w:ascii="仿宋" w:hAnsi="仿宋" w:eastAsia="仿宋" w:cs="Arial"/>
          <w:kern w:val="0"/>
          <w:sz w:val="32"/>
          <w:szCs w:val="32"/>
        </w:rPr>
      </w:pPr>
      <w:r>
        <w:rPr>
          <w:rFonts w:ascii="仿宋" w:hAnsi="仿宋" w:eastAsia="仿宋" w:cs="Arial"/>
          <w:b/>
          <w:bCs/>
          <w:color w:val="000000"/>
          <w:kern w:val="0"/>
          <w:sz w:val="32"/>
          <w:szCs w:val="32"/>
          <w:shd w:val="clear" w:color="auto" w:fill="FFFFFF"/>
        </w:rPr>
        <w:t>（二）公务用车</w:t>
      </w:r>
      <w:r>
        <w:rPr>
          <w:rFonts w:hint="eastAsia" w:ascii="仿宋" w:hAnsi="仿宋" w:eastAsia="仿宋" w:cs="Arial"/>
          <w:b/>
          <w:bCs/>
          <w:color w:val="000000"/>
          <w:kern w:val="0"/>
          <w:sz w:val="32"/>
          <w:szCs w:val="32"/>
          <w:shd w:val="clear" w:color="auto" w:fill="FFFFFF"/>
        </w:rPr>
        <w:t>购置及</w:t>
      </w:r>
      <w:r>
        <w:rPr>
          <w:rFonts w:ascii="仿宋" w:hAnsi="仿宋" w:eastAsia="仿宋" w:cs="Arial"/>
          <w:b/>
          <w:bCs/>
          <w:color w:val="000000"/>
          <w:kern w:val="0"/>
          <w:sz w:val="32"/>
          <w:szCs w:val="32"/>
          <w:shd w:val="clear" w:color="auto" w:fill="FFFFFF"/>
        </w:rPr>
        <w:t>运行费</w:t>
      </w:r>
      <w:r>
        <w:rPr>
          <w:rFonts w:hint="eastAsia" w:ascii="仿宋" w:hAnsi="仿宋" w:eastAsia="仿宋" w:cs="Arial"/>
          <w:b/>
          <w:bCs/>
          <w:color w:val="000000"/>
          <w:kern w:val="0"/>
          <w:sz w:val="32"/>
          <w:szCs w:val="32"/>
          <w:shd w:val="clear" w:color="auto" w:fill="FFFFFF"/>
        </w:rPr>
        <w:t>0.0</w:t>
      </w:r>
      <w:r>
        <w:rPr>
          <w:rFonts w:ascii="仿宋" w:hAnsi="仿宋" w:eastAsia="仿宋" w:cs="Arial"/>
          <w:b/>
          <w:bCs/>
          <w:color w:val="000000"/>
          <w:kern w:val="0"/>
          <w:sz w:val="32"/>
          <w:szCs w:val="32"/>
          <w:shd w:val="clear" w:color="auto" w:fill="FFFFFF"/>
        </w:rPr>
        <w:t>万元</w:t>
      </w:r>
      <w:r>
        <w:rPr>
          <w:rFonts w:ascii="仿宋" w:hAnsi="仿宋" w:eastAsia="仿宋" w:cs="Arial"/>
          <w:color w:val="000000"/>
          <w:kern w:val="0"/>
          <w:sz w:val="32"/>
          <w:szCs w:val="32"/>
          <w:shd w:val="clear" w:color="auto" w:fill="FFFFFF"/>
        </w:rPr>
        <w:t>，</w:t>
      </w:r>
      <w:r>
        <w:rPr>
          <w:rFonts w:hint="eastAsia" w:ascii="仿宋" w:hAnsi="仿宋" w:eastAsia="仿宋" w:cs="Arial"/>
          <w:color w:val="000000"/>
          <w:kern w:val="0"/>
          <w:sz w:val="32"/>
          <w:szCs w:val="32"/>
          <w:shd w:val="clear" w:color="auto" w:fill="FFFFFF"/>
        </w:rPr>
        <w:t>其中，无公务用车购置费0.0万元；公务用车运行维护费0.0万元</w:t>
      </w:r>
      <w:r>
        <w:rPr>
          <w:rFonts w:ascii="仿宋" w:hAnsi="仿宋" w:eastAsia="仿宋" w:cs="Arial"/>
          <w:kern w:val="0"/>
          <w:sz w:val="32"/>
          <w:szCs w:val="32"/>
          <w:shd w:val="clear" w:color="auto" w:fill="FFFFFF"/>
        </w:rPr>
        <w:t>。</w:t>
      </w:r>
      <w:r>
        <w:rPr>
          <w:rFonts w:ascii="仿宋" w:hAnsi="仿宋" w:eastAsia="仿宋" w:cs="Arial"/>
          <w:color w:val="000000"/>
          <w:kern w:val="0"/>
          <w:sz w:val="32"/>
          <w:szCs w:val="32"/>
          <w:shd w:val="clear" w:color="auto" w:fill="FFFFFF"/>
        </w:rPr>
        <w:t>主要用于</w:t>
      </w:r>
      <w:r>
        <w:rPr>
          <w:rFonts w:hint="eastAsia" w:ascii="仿宋" w:hAnsi="仿宋" w:eastAsia="仿宋" w:cs="Arial"/>
          <w:color w:val="000000"/>
          <w:kern w:val="0"/>
          <w:sz w:val="32"/>
          <w:szCs w:val="32"/>
          <w:shd w:val="clear" w:color="auto" w:fill="FFFFFF"/>
        </w:rPr>
        <w:t>开展工作所需</w:t>
      </w:r>
      <w:r>
        <w:rPr>
          <w:rFonts w:ascii="仿宋" w:hAnsi="仿宋" w:eastAsia="仿宋" w:cs="Arial"/>
          <w:color w:val="000000"/>
          <w:kern w:val="0"/>
          <w:sz w:val="32"/>
          <w:szCs w:val="32"/>
          <w:shd w:val="clear" w:color="auto" w:fill="FFFFFF"/>
        </w:rPr>
        <w:t>公务</w:t>
      </w:r>
      <w:r>
        <w:rPr>
          <w:rFonts w:hint="eastAsia" w:ascii="仿宋" w:hAnsi="仿宋" w:eastAsia="仿宋" w:cs="Arial"/>
          <w:color w:val="000000"/>
          <w:kern w:val="0"/>
          <w:sz w:val="32"/>
          <w:szCs w:val="32"/>
          <w:shd w:val="clear" w:color="auto" w:fill="FFFFFF"/>
        </w:rPr>
        <w:t>用车</w:t>
      </w:r>
      <w:r>
        <w:rPr>
          <w:rFonts w:ascii="仿宋" w:hAnsi="仿宋" w:eastAsia="仿宋" w:cs="Arial"/>
          <w:color w:val="000000"/>
          <w:kern w:val="0"/>
          <w:sz w:val="32"/>
          <w:szCs w:val="32"/>
          <w:shd w:val="clear" w:color="auto" w:fill="FFFFFF"/>
        </w:rPr>
        <w:t>的燃料费、维修费、</w:t>
      </w:r>
      <w:r>
        <w:rPr>
          <w:rFonts w:hint="eastAsia" w:ascii="仿宋" w:hAnsi="仿宋" w:eastAsia="仿宋" w:cs="Arial"/>
          <w:color w:val="000000"/>
          <w:kern w:val="0"/>
          <w:sz w:val="32"/>
          <w:szCs w:val="32"/>
          <w:shd w:val="clear" w:color="auto" w:fill="FFFFFF"/>
        </w:rPr>
        <w:t>过路过桥费、</w:t>
      </w:r>
      <w:r>
        <w:rPr>
          <w:rFonts w:ascii="仿宋" w:hAnsi="仿宋" w:eastAsia="仿宋" w:cs="Arial"/>
          <w:color w:val="000000"/>
          <w:kern w:val="0"/>
          <w:sz w:val="32"/>
          <w:szCs w:val="32"/>
          <w:shd w:val="clear" w:color="auto" w:fill="FFFFFF"/>
        </w:rPr>
        <w:t>保险费等支出；</w:t>
      </w:r>
      <w:r>
        <w:rPr>
          <w:rFonts w:hint="eastAsia" w:ascii="仿宋" w:hAnsi="仿宋" w:eastAsia="仿宋" w:cs="Arial"/>
          <w:color w:val="000000"/>
          <w:kern w:val="0"/>
          <w:sz w:val="32"/>
          <w:szCs w:val="32"/>
          <w:shd w:val="clear" w:color="auto" w:fill="FFFFFF"/>
        </w:rPr>
        <w:t>主要原因是20</w:t>
      </w:r>
      <w:r>
        <w:rPr>
          <w:rFonts w:hint="eastAsia" w:ascii="仿宋" w:hAnsi="仿宋" w:eastAsia="仿宋" w:cs="Arial"/>
          <w:color w:val="000000"/>
          <w:kern w:val="0"/>
          <w:sz w:val="32"/>
          <w:szCs w:val="32"/>
          <w:shd w:val="clear" w:color="auto" w:fill="FFFFFF"/>
          <w:lang w:val="en-US" w:eastAsia="zh-CN"/>
        </w:rPr>
        <w:t>21</w:t>
      </w:r>
      <w:r>
        <w:rPr>
          <w:rFonts w:hint="eastAsia" w:ascii="仿宋" w:hAnsi="仿宋" w:eastAsia="仿宋" w:cs="Arial"/>
          <w:color w:val="000000"/>
          <w:kern w:val="0"/>
          <w:sz w:val="32"/>
          <w:szCs w:val="32"/>
          <w:shd w:val="clear" w:color="auto" w:fill="FFFFFF"/>
        </w:rPr>
        <w:t>年无公车购置计划；公务用车运维费预算数与20</w:t>
      </w:r>
      <w:r>
        <w:rPr>
          <w:rFonts w:hint="eastAsia" w:ascii="仿宋" w:hAnsi="仿宋" w:eastAsia="仿宋" w:cs="Arial"/>
          <w:color w:val="000000"/>
          <w:kern w:val="0"/>
          <w:sz w:val="32"/>
          <w:szCs w:val="32"/>
          <w:shd w:val="clear" w:color="auto" w:fill="FFFFFF"/>
          <w:lang w:val="en-US" w:eastAsia="zh-CN"/>
        </w:rPr>
        <w:t>20</w:t>
      </w:r>
      <w:r>
        <w:rPr>
          <w:rFonts w:hint="eastAsia" w:ascii="仿宋" w:hAnsi="仿宋" w:eastAsia="仿宋" w:cs="Arial"/>
          <w:color w:val="000000"/>
          <w:kern w:val="0"/>
          <w:sz w:val="32"/>
          <w:szCs w:val="32"/>
          <w:shd w:val="clear" w:color="auto" w:fill="FFFFFF"/>
        </w:rPr>
        <w:t>年保持一致，</w:t>
      </w:r>
      <w:r>
        <w:rPr>
          <w:rFonts w:ascii="仿宋" w:hAnsi="仿宋" w:eastAsia="仿宋" w:cs="Arial"/>
          <w:color w:val="000000"/>
          <w:kern w:val="0"/>
          <w:sz w:val="32"/>
          <w:szCs w:val="32"/>
          <w:shd w:val="clear" w:color="auto" w:fill="FFFFFF"/>
        </w:rPr>
        <w:t>原因是继续贯彻落实中央八项规定精神，坚持厉行勤俭节约，严格控制公务用车范围。</w:t>
      </w:r>
    </w:p>
    <w:p>
      <w:pPr>
        <w:widowControl/>
        <w:spacing w:line="590" w:lineRule="exact"/>
        <w:ind w:firstLine="643" w:firstLineChars="200"/>
        <w:rPr>
          <w:rFonts w:hint="eastAsia" w:ascii="仿宋_GB2312" w:hAnsi="仿宋_GB2312" w:eastAsia="仿宋_GB2312" w:cs="仿宋_GB2312"/>
          <w:sz w:val="32"/>
          <w:szCs w:val="32"/>
        </w:rPr>
      </w:pPr>
      <w:r>
        <w:rPr>
          <w:rFonts w:ascii="仿宋" w:hAnsi="仿宋" w:eastAsia="仿宋" w:cs="Arial"/>
          <w:b/>
          <w:bCs/>
          <w:color w:val="000000"/>
          <w:kern w:val="0"/>
          <w:sz w:val="32"/>
          <w:szCs w:val="32"/>
          <w:shd w:val="clear" w:color="auto" w:fill="FFFFFF"/>
        </w:rPr>
        <w:t>（三）公务接待费</w:t>
      </w:r>
      <w:r>
        <w:rPr>
          <w:rFonts w:hint="eastAsia" w:ascii="仿宋" w:hAnsi="仿宋" w:eastAsia="仿宋" w:cs="Arial"/>
          <w:color w:val="000000"/>
          <w:kern w:val="0"/>
          <w:sz w:val="32"/>
          <w:szCs w:val="32"/>
          <w:shd w:val="clear" w:color="auto" w:fill="FFFFFF"/>
        </w:rPr>
        <w:t>0.0</w:t>
      </w:r>
      <w:r>
        <w:rPr>
          <w:rFonts w:ascii="仿宋" w:hAnsi="仿宋" w:eastAsia="仿宋" w:cs="Arial"/>
          <w:color w:val="000000"/>
          <w:kern w:val="0"/>
          <w:sz w:val="32"/>
          <w:szCs w:val="32"/>
          <w:shd w:val="clear" w:color="auto" w:fill="FFFFFF"/>
        </w:rPr>
        <w:t>万元。主要原因</w:t>
      </w:r>
      <w:r>
        <w:rPr>
          <w:rFonts w:hint="eastAsia" w:ascii="仿宋" w:hAnsi="仿宋" w:eastAsia="仿宋" w:cs="Arial"/>
          <w:color w:val="000000"/>
          <w:kern w:val="0"/>
          <w:sz w:val="32"/>
          <w:szCs w:val="32"/>
          <w:shd w:val="clear" w:color="auto" w:fill="FFFFFF"/>
        </w:rPr>
        <w:t>严格执行八项规定，</w:t>
      </w:r>
      <w:r>
        <w:rPr>
          <w:rFonts w:ascii="仿宋" w:hAnsi="仿宋" w:eastAsia="仿宋" w:cs="Arial"/>
          <w:color w:val="000000"/>
          <w:kern w:val="0"/>
          <w:sz w:val="32"/>
          <w:szCs w:val="32"/>
          <w:shd w:val="clear" w:color="auto" w:fill="FFFFFF"/>
        </w:rPr>
        <w:t>厉行节约，</w:t>
      </w:r>
      <w:r>
        <w:rPr>
          <w:rFonts w:hint="eastAsia" w:ascii="仿宋" w:hAnsi="仿宋" w:eastAsia="仿宋" w:cs="Arial"/>
          <w:color w:val="000000"/>
          <w:kern w:val="0"/>
          <w:sz w:val="32"/>
          <w:szCs w:val="32"/>
          <w:shd w:val="clear" w:color="auto" w:fill="FFFFFF"/>
        </w:rPr>
        <w:t>不断</w:t>
      </w:r>
      <w:r>
        <w:rPr>
          <w:rFonts w:ascii="仿宋" w:hAnsi="仿宋" w:eastAsia="仿宋" w:cs="Arial"/>
          <w:color w:val="000000"/>
          <w:kern w:val="0"/>
          <w:sz w:val="32"/>
          <w:szCs w:val="32"/>
          <w:shd w:val="clear" w:color="auto" w:fill="FFFFFF"/>
        </w:rPr>
        <w:t>压缩</w:t>
      </w:r>
      <w:r>
        <w:rPr>
          <w:rFonts w:hint="eastAsia" w:ascii="仿宋" w:hAnsi="仿宋" w:eastAsia="仿宋" w:cs="Arial"/>
          <w:color w:val="000000"/>
          <w:kern w:val="0"/>
          <w:sz w:val="32"/>
          <w:szCs w:val="32"/>
          <w:shd w:val="clear" w:color="auto" w:fill="FFFFFF"/>
        </w:rPr>
        <w:t>公务接待费</w:t>
      </w:r>
      <w:r>
        <w:rPr>
          <w:rFonts w:ascii="仿宋" w:hAnsi="仿宋" w:eastAsia="仿宋" w:cs="Arial"/>
          <w:color w:val="000000"/>
          <w:kern w:val="0"/>
          <w:sz w:val="32"/>
          <w:szCs w:val="32"/>
          <w:shd w:val="clear" w:color="auto" w:fill="FFFFFF"/>
        </w:rPr>
        <w:t>支出。</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年度“三公”经费支出预算</w:t>
      </w:r>
      <w:r>
        <w:rPr>
          <w:rFonts w:hint="eastAsia" w:ascii="仿宋_GB2312" w:hAnsi="仿宋_GB2312" w:eastAsia="仿宋_GB2312" w:cs="仿宋_GB2312"/>
          <w:sz w:val="32"/>
          <w:szCs w:val="32"/>
          <w:lang w:eastAsia="zh-CN"/>
        </w:rPr>
        <w:t>数与上年持平</w:t>
      </w:r>
      <w:r>
        <w:rPr>
          <w:rFonts w:hint="eastAsia" w:ascii="仿宋_GB2312" w:hAnsi="仿宋_GB2312" w:eastAsia="仿宋_GB2312" w:cs="仿宋_GB2312"/>
          <w:sz w:val="32"/>
          <w:szCs w:val="32"/>
        </w:rPr>
        <w:t>。</w:t>
      </w:r>
    </w:p>
    <w:p>
      <w:pPr>
        <w:widowControl/>
        <w:numPr>
          <w:ilvl w:val="0"/>
          <w:numId w:val="0"/>
        </w:numPr>
        <w:spacing w:line="59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九、其他重要事项情况说明</w:t>
      </w:r>
    </w:p>
    <w:p>
      <w:pPr>
        <w:widowControl/>
        <w:numPr>
          <w:ilvl w:val="0"/>
          <w:numId w:val="0"/>
        </w:numPr>
        <w:spacing w:line="590" w:lineRule="exact"/>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（一）机关运行经费支出情况</w:t>
      </w:r>
    </w:p>
    <w:p>
      <w:pPr>
        <w:widowControl/>
        <w:numPr>
          <w:ilvl w:val="0"/>
          <w:numId w:val="0"/>
        </w:numPr>
        <w:spacing w:line="59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平顶山市新城区</w:t>
      </w:r>
      <w:r>
        <w:rPr>
          <w:rFonts w:hint="eastAsia" w:ascii="仿宋" w:hAnsi="仿宋" w:eastAsia="仿宋" w:cs="仿宋"/>
          <w:sz w:val="32"/>
          <w:szCs w:val="32"/>
          <w:lang w:eastAsia="zh-CN"/>
        </w:rPr>
        <w:t>村镇办</w:t>
      </w:r>
      <w:r>
        <w:rPr>
          <w:rFonts w:hint="eastAsia" w:ascii="仿宋" w:hAnsi="仿宋" w:eastAsia="仿宋" w:cs="仿宋"/>
          <w:sz w:val="32"/>
          <w:szCs w:val="32"/>
          <w:lang w:val="en-US" w:eastAsia="zh-CN"/>
        </w:rPr>
        <w:t>2021年机关运行经费支出预算6.77万元。主要保障机构正常运转及正常履职需要。</w:t>
      </w:r>
    </w:p>
    <w:p>
      <w:pPr>
        <w:widowControl/>
        <w:numPr>
          <w:ilvl w:val="0"/>
          <w:numId w:val="0"/>
        </w:numPr>
        <w:spacing w:line="590" w:lineRule="exact"/>
        <w:ind w:leftChars="200" w:firstLine="321" w:firstLineChars="1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（二）政府采购情况说明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 w:hAnsi="仿宋" w:eastAsia="仿宋" w:cs="仿宋"/>
          <w:sz w:val="32"/>
          <w:szCs w:val="32"/>
        </w:rPr>
        <w:t>平顶山市新城区</w:t>
      </w:r>
      <w:r>
        <w:rPr>
          <w:rFonts w:hint="eastAsia" w:ascii="仿宋" w:hAnsi="仿宋" w:eastAsia="仿宋" w:cs="仿宋"/>
          <w:sz w:val="32"/>
          <w:szCs w:val="32"/>
          <w:lang w:eastAsia="zh-CN"/>
        </w:rPr>
        <w:t>村镇办</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年度政府采购</w:t>
      </w:r>
      <w:r>
        <w:rPr>
          <w:rFonts w:hint="eastAsia" w:ascii="仿宋_GB2312" w:hAnsi="仿宋_GB2312" w:eastAsia="仿宋_GB2312" w:cs="仿宋_GB2312"/>
          <w:sz w:val="32"/>
          <w:szCs w:val="32"/>
          <w:lang w:eastAsia="zh-CN"/>
        </w:rPr>
        <w:t>预算安排</w:t>
      </w:r>
      <w:r>
        <w:rPr>
          <w:rFonts w:hint="eastAsia" w:ascii="仿宋_GB2312" w:hAnsi="仿宋_GB2312" w:eastAsia="仿宋_GB2312" w:cs="仿宋_GB2312"/>
          <w:sz w:val="32"/>
          <w:szCs w:val="32"/>
        </w:rPr>
        <w:t>0万元。</w:t>
      </w:r>
    </w:p>
    <w:p>
      <w:pPr>
        <w:widowControl/>
        <w:numPr>
          <w:ilvl w:val="0"/>
          <w:numId w:val="3"/>
        </w:numPr>
        <w:spacing w:line="590" w:lineRule="exact"/>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绩效目标设置情况</w:t>
      </w:r>
    </w:p>
    <w:p>
      <w:pPr>
        <w:widowControl/>
        <w:numPr>
          <w:ilvl w:val="0"/>
          <w:numId w:val="0"/>
        </w:numPr>
        <w:spacing w:line="590" w:lineRule="exact"/>
        <w:ind w:firstLine="640" w:firstLineChars="200"/>
        <w:rPr>
          <w:rFonts w:hint="eastAsia" w:ascii="仿宋_GB2312" w:hAnsi="仿宋_GB2312" w:eastAsia="仿宋_GB2312" w:cs="仿宋_GB2312"/>
          <w:sz w:val="32"/>
          <w:szCs w:val="32"/>
          <w:lang w:eastAsia="zh-CN"/>
        </w:rPr>
      </w:pPr>
      <w:r>
        <w:rPr>
          <w:rFonts w:hint="eastAsia" w:ascii="仿宋" w:hAnsi="仿宋" w:eastAsia="仿宋" w:cs="仿宋"/>
          <w:sz w:val="32"/>
          <w:szCs w:val="32"/>
        </w:rPr>
        <w:t>平顶山市新城区</w:t>
      </w:r>
      <w:r>
        <w:rPr>
          <w:rFonts w:hint="eastAsia" w:ascii="仿宋" w:hAnsi="仿宋" w:eastAsia="仿宋" w:cs="仿宋"/>
          <w:sz w:val="32"/>
          <w:szCs w:val="32"/>
          <w:lang w:eastAsia="zh-CN"/>
        </w:rPr>
        <w:t>村镇办</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lang w:eastAsia="zh-CN"/>
        </w:rPr>
        <w:t>年按要求编制了绩效目标，从项目产出、项目效益、满意度等方面设置了绩效指标，综合反映项目预期完成的数量、实效、质量，预期达到的社会经济效益、可持续影响以及服务对象满意度等情况。</w:t>
      </w:r>
    </w:p>
    <w:p>
      <w:pPr>
        <w:widowControl/>
        <w:numPr>
          <w:ilvl w:val="0"/>
          <w:numId w:val="3"/>
        </w:numPr>
        <w:spacing w:line="590" w:lineRule="exact"/>
        <w:ind w:left="0" w:leftChars="0"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国有资产占用情况</w:t>
      </w:r>
    </w:p>
    <w:p>
      <w:pPr>
        <w:widowControl/>
        <w:numPr>
          <w:ilvl w:val="0"/>
          <w:numId w:val="0"/>
        </w:numPr>
        <w:spacing w:line="590" w:lineRule="exact"/>
        <w:ind w:leftChars="200" w:firstLine="320" w:firstLineChars="100"/>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2020年期末，</w:t>
      </w:r>
      <w:r>
        <w:rPr>
          <w:rFonts w:hint="eastAsia" w:ascii="仿宋" w:hAnsi="仿宋" w:eastAsia="仿宋" w:cs="仿宋"/>
          <w:sz w:val="32"/>
          <w:szCs w:val="32"/>
        </w:rPr>
        <w:t>平顶山市新城区</w:t>
      </w:r>
      <w:r>
        <w:rPr>
          <w:rFonts w:hint="eastAsia" w:ascii="仿宋" w:hAnsi="仿宋" w:eastAsia="仿宋" w:cs="仿宋"/>
          <w:sz w:val="32"/>
          <w:szCs w:val="32"/>
          <w:lang w:eastAsia="zh-CN"/>
        </w:rPr>
        <w:t>村镇办共有车辆</w:t>
      </w:r>
      <w:r>
        <w:rPr>
          <w:rFonts w:hint="eastAsia" w:ascii="仿宋" w:hAnsi="仿宋" w:eastAsia="仿宋" w:cs="仿宋"/>
          <w:sz w:val="32"/>
          <w:szCs w:val="32"/>
          <w:lang w:val="en-US" w:eastAsia="zh-CN"/>
        </w:rPr>
        <w:t>0辆，单价50万元以上通用设备0套，单位价100万元以上专用设备0套。</w:t>
      </w:r>
    </w:p>
    <w:p>
      <w:pPr>
        <w:widowControl/>
        <w:numPr>
          <w:ilvl w:val="0"/>
          <w:numId w:val="3"/>
        </w:numPr>
        <w:spacing w:line="590" w:lineRule="exact"/>
        <w:ind w:left="0" w:leftChars="0"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专项转移支付项目情况</w:t>
      </w:r>
    </w:p>
    <w:p>
      <w:pPr>
        <w:widowControl/>
        <w:numPr>
          <w:ilvl w:val="0"/>
          <w:numId w:val="0"/>
        </w:numPr>
        <w:spacing w:line="590" w:lineRule="exact"/>
        <w:ind w:leftChars="200" w:firstLine="320" w:firstLineChars="100"/>
        <w:rPr>
          <w:rFonts w:hint="eastAsia" w:ascii="仿宋" w:hAnsi="仿宋" w:eastAsia="仿宋_GB2312" w:cs="仿宋"/>
          <w:sz w:val="32"/>
          <w:szCs w:val="32"/>
          <w:lang w:val="en-US" w:eastAsia="zh-CN"/>
        </w:rPr>
      </w:pPr>
      <w:r>
        <w:rPr>
          <w:rFonts w:hint="eastAsia" w:ascii="仿宋" w:hAnsi="仿宋" w:eastAsia="仿宋" w:cs="仿宋"/>
          <w:sz w:val="32"/>
          <w:szCs w:val="32"/>
        </w:rPr>
        <w:t>平顶山市新城区</w:t>
      </w:r>
      <w:r>
        <w:rPr>
          <w:rFonts w:hint="eastAsia" w:ascii="仿宋" w:hAnsi="仿宋" w:eastAsia="仿宋" w:cs="仿宋"/>
          <w:sz w:val="32"/>
          <w:szCs w:val="32"/>
          <w:lang w:eastAsia="zh-CN"/>
        </w:rPr>
        <w:t>村镇办</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lang w:eastAsia="zh-CN"/>
        </w:rPr>
        <w:t>年没有专项转移支付项目。</w:t>
      </w:r>
    </w:p>
    <w:p>
      <w:pPr>
        <w:widowControl/>
        <w:numPr>
          <w:ilvl w:val="0"/>
          <w:numId w:val="0"/>
        </w:numPr>
        <w:spacing w:line="590" w:lineRule="exact"/>
        <w:ind w:leftChars="200" w:firstLine="320" w:firstLineChars="100"/>
        <w:rPr>
          <w:rFonts w:hint="eastAsia" w:ascii="仿宋" w:hAnsi="仿宋" w:eastAsia="仿宋" w:cs="仿宋"/>
          <w:sz w:val="32"/>
          <w:szCs w:val="32"/>
          <w:lang w:val="en-US" w:eastAsia="zh-CN"/>
        </w:rPr>
      </w:pPr>
    </w:p>
    <w:p>
      <w:pPr>
        <w:widowControl/>
        <w:numPr>
          <w:ilvl w:val="0"/>
          <w:numId w:val="0"/>
        </w:numPr>
        <w:spacing w:line="590" w:lineRule="exact"/>
        <w:ind w:leftChars="200"/>
        <w:rPr>
          <w:rFonts w:hint="eastAsia" w:ascii="黑体" w:hAnsi="黑体" w:eastAsia="黑体" w:cs="黑体"/>
          <w:sz w:val="32"/>
          <w:szCs w:val="32"/>
          <w:lang w:eastAsia="zh-CN"/>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numPr>
          <w:ilvl w:val="0"/>
          <w:numId w:val="4"/>
        </w:numPr>
        <w:jc w:val="center"/>
        <w:rPr>
          <w:rFonts w:hint="eastAsia" w:ascii="黑体" w:hAnsi="黑体" w:eastAsia="黑体" w:cs="黑体"/>
          <w:sz w:val="48"/>
          <w:szCs w:val="48"/>
        </w:rPr>
      </w:pPr>
      <w:r>
        <w:rPr>
          <w:rFonts w:hint="eastAsia" w:ascii="黑体" w:hAnsi="黑体" w:eastAsia="黑体" w:cs="黑体"/>
          <w:sz w:val="48"/>
          <w:szCs w:val="48"/>
        </w:rPr>
        <w:t>　名词解释</w:t>
      </w:r>
    </w:p>
    <w:p>
      <w:pPr>
        <w:numPr>
          <w:ilvl w:val="0"/>
          <w:numId w:val="0"/>
        </w:numPr>
        <w:jc w:val="both"/>
        <w:rPr>
          <w:rFonts w:hint="eastAsia" w:ascii="黑体" w:hAnsi="黑体" w:eastAsia="黑体" w:cs="黑体"/>
          <w:sz w:val="48"/>
          <w:szCs w:val="48"/>
        </w:rPr>
      </w:pPr>
    </w:p>
    <w:p>
      <w:pPr>
        <w:jc w:val="center"/>
        <w:outlineLvl w:val="0"/>
        <w:rPr>
          <w:rFonts w:hint="eastAsia" w:ascii="黑体" w:hAnsi="黑体" w:eastAsia="黑体" w:cs="黑体"/>
          <w:sz w:val="48"/>
          <w:szCs w:val="48"/>
          <w:lang w:eastAsia="zh-CN"/>
        </w:rPr>
        <w:sectPr>
          <w:pgSz w:w="11906" w:h="16838"/>
          <w:pgMar w:top="1440" w:right="1531" w:bottom="1440" w:left="1587" w:header="850" w:footer="992" w:gutter="0"/>
          <w:pgNumType w:fmt="numberInDash"/>
          <w:cols w:space="720" w:num="1"/>
          <w:docGrid w:type="lines" w:linePitch="317" w:charSpace="0"/>
        </w:sectPr>
      </w:pPr>
    </w:p>
    <w:p>
      <w:pPr>
        <w:widowControl/>
        <w:numPr>
          <w:ilvl w:val="0"/>
          <w:numId w:val="0"/>
        </w:numPr>
        <w:spacing w:line="59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财政拨款收入：</w:t>
      </w:r>
      <w:r>
        <w:rPr>
          <w:rFonts w:hint="eastAsia" w:ascii="仿宋_GB2312" w:hAnsi="仿宋_GB2312" w:eastAsia="仿宋_GB2312" w:cs="仿宋_GB2312"/>
          <w:sz w:val="32"/>
          <w:szCs w:val="32"/>
          <w:lang w:eastAsia="zh-CN"/>
        </w:rPr>
        <w:t>是指本级财政当年拨付的资金。</w:t>
      </w:r>
    </w:p>
    <w:p>
      <w:pPr>
        <w:widowControl/>
        <w:numPr>
          <w:ilvl w:val="0"/>
          <w:numId w:val="0"/>
        </w:numPr>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二、事业收入：</w:t>
      </w:r>
      <w:r>
        <w:rPr>
          <w:rFonts w:hint="eastAsia" w:ascii="仿宋_GB2312" w:hAnsi="仿宋_GB2312" w:eastAsia="仿宋_GB2312" w:cs="仿宋_GB2312"/>
          <w:sz w:val="32"/>
          <w:szCs w:val="32"/>
          <w:lang w:eastAsia="zh-CN"/>
        </w:rPr>
        <w:t>是指</w:t>
      </w:r>
      <w:r>
        <w:rPr>
          <w:rFonts w:hint="eastAsia" w:ascii="仿宋_GB2312" w:hAnsi="仿宋_GB2312" w:eastAsia="仿宋_GB2312" w:cs="仿宋_GB2312"/>
          <w:sz w:val="32"/>
          <w:szCs w:val="32"/>
        </w:rPr>
        <w:t>事业单位开展专业活动及其辅助活动取得的收入。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其他</w:t>
      </w:r>
      <w:r>
        <w:rPr>
          <w:rFonts w:hint="eastAsia" w:ascii="仿宋_GB2312" w:hAnsi="仿宋_GB2312" w:eastAsia="仿宋_GB2312" w:cs="仿宋_GB2312"/>
          <w:sz w:val="32"/>
          <w:szCs w:val="32"/>
        </w:rPr>
        <w:t>收入：</w:t>
      </w:r>
      <w:r>
        <w:rPr>
          <w:rFonts w:hint="eastAsia" w:ascii="仿宋_GB2312" w:hAnsi="仿宋_GB2312" w:eastAsia="仿宋_GB2312" w:cs="仿宋_GB2312"/>
          <w:sz w:val="32"/>
          <w:szCs w:val="32"/>
          <w:lang w:eastAsia="zh-CN"/>
        </w:rPr>
        <w:t>是指部门</w:t>
      </w:r>
      <w:r>
        <w:rPr>
          <w:rFonts w:hint="eastAsia" w:ascii="仿宋_GB2312" w:hAnsi="仿宋_GB2312" w:eastAsia="仿宋_GB2312" w:cs="仿宋_GB2312"/>
          <w:sz w:val="32"/>
          <w:szCs w:val="32"/>
        </w:rPr>
        <w:t>取得的除“财政拨款”、“事业收入”、“</w:t>
      </w:r>
      <w:r>
        <w:rPr>
          <w:rFonts w:hint="eastAsia" w:ascii="仿宋_GB2312" w:hAnsi="仿宋_GB2312" w:eastAsia="仿宋_GB2312" w:cs="仿宋_GB2312"/>
          <w:sz w:val="32"/>
          <w:szCs w:val="32"/>
          <w:lang w:eastAsia="zh-CN"/>
        </w:rPr>
        <w:t>事业单位</w:t>
      </w:r>
      <w:r>
        <w:rPr>
          <w:rFonts w:hint="eastAsia" w:ascii="仿宋_GB2312" w:hAnsi="仿宋_GB2312" w:eastAsia="仿宋_GB2312" w:cs="仿宋_GB2312"/>
          <w:sz w:val="32"/>
          <w:szCs w:val="32"/>
        </w:rPr>
        <w:t>经营收入”等以外的收入。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四、用事业基金弥补收支差额：</w:t>
      </w:r>
      <w:r>
        <w:rPr>
          <w:rFonts w:hint="eastAsia" w:ascii="仿宋_GB2312" w:hAnsi="仿宋_GB2312" w:eastAsia="仿宋_GB2312" w:cs="仿宋_GB2312"/>
          <w:sz w:val="32"/>
          <w:szCs w:val="32"/>
          <w:lang w:eastAsia="zh-CN"/>
        </w:rPr>
        <w:t>是指事业单位在当年的</w:t>
      </w:r>
      <w:r>
        <w:rPr>
          <w:rFonts w:hint="eastAsia" w:ascii="仿宋_GB2312" w:hAnsi="仿宋_GB2312" w:eastAsia="仿宋_GB2312" w:cs="仿宋_GB2312"/>
          <w:sz w:val="32"/>
          <w:szCs w:val="32"/>
        </w:rPr>
        <w:t>“财政拨款</w:t>
      </w:r>
      <w:r>
        <w:rPr>
          <w:rFonts w:hint="eastAsia" w:ascii="仿宋_GB2312" w:hAnsi="仿宋_GB2312" w:eastAsia="仿宋_GB2312" w:cs="仿宋_GB2312"/>
          <w:sz w:val="32"/>
          <w:szCs w:val="32"/>
          <w:lang w:eastAsia="zh-CN"/>
        </w:rPr>
        <w:t>收入</w:t>
      </w:r>
      <w:r>
        <w:rPr>
          <w:rFonts w:hint="eastAsia" w:ascii="仿宋_GB2312" w:hAnsi="仿宋_GB2312" w:eastAsia="仿宋_GB2312" w:cs="仿宋_GB2312"/>
          <w:sz w:val="32"/>
          <w:szCs w:val="32"/>
        </w:rPr>
        <w:t>”、“事业收入”、“经营收入”</w:t>
      </w:r>
      <w:r>
        <w:rPr>
          <w:rFonts w:hint="eastAsia" w:ascii="仿宋_GB2312" w:hAnsi="仿宋_GB2312" w:eastAsia="仿宋_GB2312" w:cs="仿宋_GB2312"/>
          <w:sz w:val="32"/>
          <w:szCs w:val="32"/>
          <w:lang w:eastAsia="zh-CN"/>
        </w:rPr>
        <w:t>和“其他收入”</w:t>
      </w:r>
      <w:r>
        <w:rPr>
          <w:rFonts w:hint="eastAsia" w:ascii="仿宋_GB2312" w:hAnsi="仿宋_GB2312" w:eastAsia="仿宋_GB2312" w:cs="仿宋_GB2312"/>
          <w:sz w:val="32"/>
          <w:szCs w:val="32"/>
        </w:rPr>
        <w:t>不足以安排当年支出的情况下，使用以前年度积累的事业基金（</w:t>
      </w:r>
      <w:r>
        <w:rPr>
          <w:rFonts w:hint="eastAsia" w:ascii="仿宋_GB2312" w:hAnsi="仿宋_GB2312" w:eastAsia="仿宋_GB2312" w:cs="仿宋_GB2312"/>
          <w:sz w:val="32"/>
          <w:szCs w:val="32"/>
          <w:lang w:eastAsia="zh-CN"/>
        </w:rPr>
        <w:t>即</w:t>
      </w:r>
      <w:r>
        <w:rPr>
          <w:rFonts w:hint="eastAsia" w:ascii="仿宋_GB2312" w:hAnsi="仿宋_GB2312" w:eastAsia="仿宋_GB2312" w:cs="仿宋_GB2312"/>
          <w:sz w:val="32"/>
          <w:szCs w:val="32"/>
        </w:rPr>
        <w:t>事业单位</w:t>
      </w:r>
      <w:r>
        <w:rPr>
          <w:rFonts w:hint="eastAsia" w:ascii="仿宋_GB2312" w:hAnsi="仿宋_GB2312" w:eastAsia="仿宋_GB2312" w:cs="仿宋_GB2312"/>
          <w:sz w:val="32"/>
          <w:szCs w:val="32"/>
          <w:lang w:eastAsia="zh-CN"/>
        </w:rPr>
        <w:t>以前各年度收支相抵后，</w:t>
      </w:r>
      <w:r>
        <w:rPr>
          <w:rFonts w:hint="eastAsia" w:ascii="仿宋_GB2312" w:hAnsi="仿宋_GB2312" w:eastAsia="仿宋_GB2312" w:cs="仿宋_GB2312"/>
          <w:sz w:val="32"/>
          <w:szCs w:val="32"/>
        </w:rPr>
        <w:t>按国家规定提取、用于弥补以后年度收支差额的基金）弥补当年收支缺口的资金。</w:t>
      </w:r>
    </w:p>
    <w:p>
      <w:pPr>
        <w:widowControl/>
        <w:spacing w:line="59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基本支出：</w:t>
      </w:r>
      <w:r>
        <w:rPr>
          <w:rFonts w:hint="eastAsia" w:ascii="仿宋_GB2312" w:hAnsi="仿宋_GB2312" w:eastAsia="仿宋_GB2312" w:cs="仿宋_GB2312"/>
          <w:sz w:val="32"/>
          <w:szCs w:val="32"/>
          <w:lang w:eastAsia="zh-CN"/>
        </w:rPr>
        <w:t>是指</w:t>
      </w:r>
      <w:r>
        <w:rPr>
          <w:rFonts w:hint="eastAsia" w:ascii="仿宋_GB2312" w:hAnsi="仿宋_GB2312" w:eastAsia="仿宋_GB2312" w:cs="仿宋_GB2312"/>
          <w:sz w:val="32"/>
          <w:szCs w:val="32"/>
        </w:rPr>
        <w:t>为保障机构正常运转、完成日常工作任务</w:t>
      </w:r>
      <w:r>
        <w:rPr>
          <w:rFonts w:hint="eastAsia" w:ascii="仿宋_GB2312" w:hAnsi="仿宋_GB2312" w:eastAsia="仿宋_GB2312" w:cs="仿宋_GB2312"/>
          <w:sz w:val="32"/>
          <w:szCs w:val="32"/>
          <w:lang w:eastAsia="zh-CN"/>
        </w:rPr>
        <w:t>所必需的开支，其内容包括人员经费和日常公用经费两部分。</w:t>
      </w:r>
    </w:p>
    <w:p>
      <w:pPr>
        <w:widowControl/>
        <w:shd w:val="clear" w:color="auto" w:fill="FFFFFF"/>
        <w:spacing w:line="375" w:lineRule="atLeast"/>
        <w:ind w:firstLine="540"/>
        <w:jc w:val="left"/>
        <w:rPr>
          <w:rFonts w:ascii="仿宋" w:hAnsi="仿宋" w:eastAsia="仿宋" w:cs="Arial"/>
          <w:kern w:val="0"/>
          <w:sz w:val="32"/>
          <w:szCs w:val="32"/>
        </w:rPr>
      </w:pPr>
      <w:r>
        <w:rPr>
          <w:rFonts w:ascii="仿宋" w:hAnsi="仿宋" w:eastAsia="仿宋" w:cs="Arial"/>
          <w:color w:val="000000"/>
          <w:kern w:val="0"/>
          <w:sz w:val="32"/>
          <w:szCs w:val="32"/>
          <w:shd w:val="clear" w:color="auto" w:fill="FFFFFF"/>
        </w:rPr>
        <w:t>六、项目支出：是指在基本支出之外，为完成特定的行政工作任务或事业发展目标所发生的支出。</w:t>
      </w:r>
    </w:p>
    <w:p>
      <w:pPr>
        <w:widowControl/>
        <w:shd w:val="clear" w:color="auto" w:fill="FFFFFF"/>
        <w:spacing w:line="375" w:lineRule="atLeast"/>
        <w:ind w:firstLine="540"/>
        <w:jc w:val="left"/>
        <w:rPr>
          <w:rFonts w:ascii="仿宋" w:hAnsi="仿宋" w:eastAsia="仿宋" w:cs="Arial"/>
          <w:kern w:val="0"/>
          <w:sz w:val="32"/>
          <w:szCs w:val="32"/>
        </w:rPr>
      </w:pPr>
      <w:r>
        <w:rPr>
          <w:rFonts w:ascii="仿宋" w:hAnsi="仿宋" w:eastAsia="仿宋" w:cs="Arial"/>
          <w:color w:val="000000"/>
          <w:kern w:val="0"/>
          <w:sz w:val="32"/>
          <w:szCs w:val="32"/>
          <w:shd w:val="clear" w:color="auto" w:fill="FFFFFF"/>
        </w:rPr>
        <w:t>七、“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widowControl/>
        <w:shd w:val="clear" w:color="auto" w:fill="FFFFFF"/>
        <w:spacing w:line="375" w:lineRule="atLeast"/>
        <w:ind w:firstLine="540"/>
        <w:jc w:val="left"/>
        <w:rPr>
          <w:rFonts w:ascii="仿宋" w:hAnsi="仿宋" w:eastAsia="仿宋" w:cs="Arial"/>
          <w:color w:val="000000"/>
          <w:kern w:val="0"/>
          <w:sz w:val="32"/>
          <w:szCs w:val="32"/>
          <w:shd w:val="clear" w:color="auto" w:fill="FFFFFF"/>
        </w:rPr>
      </w:pPr>
      <w:r>
        <w:rPr>
          <w:rFonts w:ascii="仿宋" w:hAnsi="仿宋" w:eastAsia="仿宋" w:cs="Arial"/>
          <w:color w:val="000000"/>
          <w:kern w:val="0"/>
          <w:sz w:val="32"/>
          <w:szCs w:val="32"/>
          <w:shd w:val="clear" w:color="auto" w:fill="FFFFFF"/>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widowControl/>
        <w:shd w:val="clear" w:color="auto" w:fill="FFFFFF"/>
        <w:spacing w:line="375" w:lineRule="atLeast"/>
        <w:ind w:firstLine="540"/>
        <w:jc w:val="left"/>
        <w:rPr>
          <w:rFonts w:ascii="仿宋" w:hAnsi="仿宋" w:eastAsia="仿宋" w:cs="Arial"/>
          <w:color w:val="000000"/>
          <w:kern w:val="0"/>
          <w:sz w:val="32"/>
          <w:szCs w:val="32"/>
          <w:shd w:val="clear" w:color="auto" w:fill="FFFFFF"/>
        </w:rPr>
      </w:pPr>
    </w:p>
    <w:p>
      <w:pPr>
        <w:widowControl/>
        <w:shd w:val="clear" w:color="auto" w:fill="FFFFFF"/>
        <w:spacing w:line="375" w:lineRule="atLeast"/>
        <w:ind w:firstLine="540"/>
        <w:jc w:val="left"/>
        <w:rPr>
          <w:rFonts w:hint="eastAsia" w:ascii="仿宋" w:hAnsi="仿宋" w:eastAsia="仿宋" w:cs="Arial"/>
          <w:kern w:val="0"/>
          <w:sz w:val="32"/>
          <w:szCs w:val="32"/>
        </w:rPr>
      </w:pPr>
    </w:p>
    <w:p>
      <w:pPr>
        <w:widowControl/>
        <w:shd w:val="clear" w:color="auto" w:fill="FFFFFF"/>
        <w:spacing w:line="375" w:lineRule="atLeast"/>
        <w:jc w:val="left"/>
        <w:rPr>
          <w:rFonts w:hint="eastAsia"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 xml:space="preserve">附件： </w:t>
      </w:r>
    </w:p>
    <w:p>
      <w:pPr>
        <w:widowControl/>
        <w:shd w:val="clear" w:color="auto" w:fill="FFFFFF"/>
        <w:spacing w:line="375" w:lineRule="atLeast"/>
        <w:ind w:left="960" w:hanging="960" w:hangingChars="300"/>
        <w:jc w:val="left"/>
        <w:rPr>
          <w:rFonts w:hint="eastAsia" w:ascii="黑体" w:hAnsi="黑体" w:eastAsia="黑体" w:cs="黑体"/>
          <w:kern w:val="0"/>
          <w:sz w:val="32"/>
          <w:szCs w:val="32"/>
        </w:rPr>
      </w:pPr>
      <w:r>
        <w:rPr>
          <w:rFonts w:hint="eastAsia" w:ascii="黑体" w:hAnsi="黑体" w:eastAsia="黑体" w:cs="黑体"/>
          <w:color w:val="000000"/>
          <w:kern w:val="0"/>
          <w:sz w:val="32"/>
          <w:szCs w:val="32"/>
          <w:shd w:val="clear" w:color="auto" w:fill="FFFFFF"/>
        </w:rPr>
        <w:t xml:space="preserve">     平顶山市新城区</w:t>
      </w:r>
      <w:r>
        <w:rPr>
          <w:rFonts w:hint="eastAsia" w:ascii="黑体" w:hAnsi="黑体" w:eastAsia="黑体" w:cs="黑体"/>
          <w:color w:val="000000"/>
          <w:kern w:val="0"/>
          <w:sz w:val="32"/>
          <w:szCs w:val="32"/>
          <w:shd w:val="clear" w:color="auto" w:fill="FFFFFF"/>
          <w:lang w:eastAsia="zh-CN"/>
        </w:rPr>
        <w:t>村镇办</w:t>
      </w:r>
      <w:r>
        <w:rPr>
          <w:rFonts w:hint="eastAsia" w:ascii="黑体" w:hAnsi="黑体" w:eastAsia="黑体" w:cs="黑体"/>
          <w:color w:val="000000"/>
          <w:kern w:val="0"/>
          <w:sz w:val="32"/>
          <w:szCs w:val="32"/>
          <w:shd w:val="clear" w:color="auto" w:fill="FFFFFF"/>
        </w:rPr>
        <w:t>2021年度部门预算表</w:t>
      </w:r>
    </w:p>
    <w:p>
      <w:pPr>
        <w:rPr>
          <w:rFonts w:hint="eastAsia"/>
          <w:lang w:eastAsia="zh-CN"/>
        </w:rPr>
        <w:sectPr>
          <w:pgSz w:w="11906" w:h="16838"/>
          <w:pgMar w:top="1928" w:right="1474" w:bottom="1701" w:left="1588" w:header="851" w:footer="992" w:gutter="0"/>
          <w:pgNumType w:fmt="numberInDash"/>
          <w:cols w:space="720" w:num="1"/>
          <w:docGrid w:type="lines" w:linePitch="312" w:charSpace="0"/>
        </w:sectPr>
      </w:pPr>
    </w:p>
    <w:p>
      <w:pPr>
        <w:sectPr>
          <w:pgSz w:w="16838" w:h="11906" w:orient="landscape"/>
          <w:pgMar w:top="1588" w:right="1928" w:bottom="1474" w:left="1701" w:header="851" w:footer="992" w:gutter="0"/>
          <w:pgNumType w:fmt="numberInDash"/>
          <w:cols w:space="720" w:num="1"/>
          <w:docGrid w:type="lines" w:linePitch="312" w:charSpace="0"/>
        </w:sectPr>
      </w:pPr>
      <w:r>
        <w:object>
          <v:shape id="_x0000_i1026" o:spt="75" type="#_x0000_t75" style="height:404.05pt;width:659.7pt;" o:ole="t" filled="f" o:preferrelative="t" stroked="f" coordsize="21600,21600">
            <v:path/>
            <v:fill on="f" focussize="0,0"/>
            <v:stroke on="f"/>
            <v:imagedata r:id="rId6" o:title=""/>
            <o:lock v:ext="edit" aspectratio="f"/>
            <w10:wrap type="none"/>
            <w10:anchorlock/>
          </v:shape>
          <o:OLEObject Type="Embed" ProgID="Office12.Excel.Template" ShapeID="_x0000_i1026" DrawAspect="Content" ObjectID="_1468075725" r:id="rId5">
            <o:LockedField>false</o:LockedField>
          </o:OLEObject>
        </w:object>
      </w:r>
    </w:p>
    <w:p>
      <w:pPr>
        <w:rPr>
          <w:rFonts w:hint="eastAsia"/>
          <w:lang w:eastAsia="zh-CN"/>
        </w:rPr>
        <w:sectPr>
          <w:pgSz w:w="16838" w:h="11906" w:orient="landscape"/>
          <w:pgMar w:top="1588" w:right="1928" w:bottom="1474" w:left="1701" w:header="851" w:footer="992" w:gutter="0"/>
          <w:pgNumType w:fmt="numberInDash"/>
          <w:cols w:space="720" w:num="1"/>
          <w:docGrid w:type="lines" w:linePitch="312" w:charSpace="0"/>
        </w:sectPr>
      </w:pPr>
      <w:r>
        <w:drawing>
          <wp:inline distT="0" distB="0" distL="114300" distR="114300">
            <wp:extent cx="8376285" cy="4138930"/>
            <wp:effectExtent l="0" t="0" r="5715" b="1397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8376285" cy="4138930"/>
                    </a:xfrm>
                    <a:prstGeom prst="rect">
                      <a:avLst/>
                    </a:prstGeom>
                    <a:noFill/>
                    <a:ln>
                      <a:noFill/>
                    </a:ln>
                  </pic:spPr>
                </pic:pic>
              </a:graphicData>
            </a:graphic>
          </wp:inline>
        </w:drawing>
      </w:r>
    </w:p>
    <w:p>
      <w:pPr>
        <w:sectPr>
          <w:pgSz w:w="16838" w:h="11906" w:orient="landscape"/>
          <w:pgMar w:top="1588" w:right="1928" w:bottom="1474" w:left="1701" w:header="851" w:footer="992" w:gutter="0"/>
          <w:pgNumType w:fmt="numberInDash"/>
          <w:cols w:space="720" w:num="1"/>
          <w:docGrid w:type="lines" w:linePitch="312" w:charSpace="0"/>
        </w:sectPr>
      </w:pPr>
      <w:r>
        <w:object>
          <v:shape id="_x0000_i1027" o:spt="75" type="#_x0000_t75" style="height:384pt;width:667.9pt;" o:ole="t" filled="f" o:preferrelative="t" stroked="f" coordsize="21600,21600">
            <v:path/>
            <v:fill on="f" focussize="0,0"/>
            <v:stroke on="f"/>
            <v:imagedata r:id="rId9" o:title=""/>
            <o:lock v:ext="edit" aspectratio="f"/>
            <w10:wrap type="none"/>
            <w10:anchorlock/>
          </v:shape>
          <o:OLEObject Type="Embed" ProgID="Office12.Excel.Template" ShapeID="_x0000_i1027" DrawAspect="Content" ObjectID="_1468075726" r:id="rId8">
            <o:LockedField>false</o:LockedField>
          </o:OLEObject>
        </w:object>
      </w:r>
      <w:bookmarkStart w:id="0" w:name="_GoBack"/>
      <w:bookmarkEnd w:id="0"/>
    </w:p>
    <w:p>
      <w:pPr>
        <w:sectPr>
          <w:pgSz w:w="16838" w:h="11906" w:orient="landscape"/>
          <w:pgMar w:top="1588" w:right="1928" w:bottom="1474" w:left="1701" w:header="851" w:footer="992" w:gutter="0"/>
          <w:pgNumType w:fmt="numberInDash"/>
          <w:cols w:space="720" w:num="1"/>
          <w:docGrid w:type="lines" w:linePitch="312" w:charSpace="0"/>
        </w:sectPr>
      </w:pPr>
      <w:r>
        <w:drawing>
          <wp:inline distT="0" distB="0" distL="114300" distR="114300">
            <wp:extent cx="8383270" cy="6185535"/>
            <wp:effectExtent l="0" t="0" r="17780" b="5715"/>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0"/>
                    <a:stretch>
                      <a:fillRect/>
                    </a:stretch>
                  </pic:blipFill>
                  <pic:spPr>
                    <a:xfrm>
                      <a:off x="0" y="0"/>
                      <a:ext cx="8383270" cy="6185535"/>
                    </a:xfrm>
                    <a:prstGeom prst="rect">
                      <a:avLst/>
                    </a:prstGeom>
                    <a:noFill/>
                    <a:ln>
                      <a:noFill/>
                    </a:ln>
                  </pic:spPr>
                </pic:pic>
              </a:graphicData>
            </a:graphic>
          </wp:inline>
        </w:drawing>
      </w:r>
    </w:p>
    <w:p>
      <w:pPr>
        <w:sectPr>
          <w:pgSz w:w="16838" w:h="11906" w:orient="landscape"/>
          <w:pgMar w:top="1588" w:right="1928" w:bottom="1474" w:left="1701" w:header="851" w:footer="992" w:gutter="0"/>
          <w:pgNumType w:fmt="numberInDash"/>
          <w:cols w:space="720" w:num="1"/>
          <w:docGrid w:type="lines" w:linePitch="312" w:charSpace="0"/>
        </w:sectPr>
      </w:pPr>
      <w:r>
        <w:drawing>
          <wp:inline distT="0" distB="0" distL="114300" distR="114300">
            <wp:extent cx="8380730" cy="4404995"/>
            <wp:effectExtent l="0" t="0" r="1270" b="14605"/>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1"/>
                    <a:stretch>
                      <a:fillRect/>
                    </a:stretch>
                  </pic:blipFill>
                  <pic:spPr>
                    <a:xfrm>
                      <a:off x="0" y="0"/>
                      <a:ext cx="8380730" cy="4404995"/>
                    </a:xfrm>
                    <a:prstGeom prst="rect">
                      <a:avLst/>
                    </a:prstGeom>
                    <a:noFill/>
                    <a:ln>
                      <a:noFill/>
                    </a:ln>
                  </pic:spPr>
                </pic:pic>
              </a:graphicData>
            </a:graphic>
          </wp:inline>
        </w:drawing>
      </w:r>
    </w:p>
    <w:p>
      <w:pPr>
        <w:sectPr>
          <w:pgSz w:w="16838" w:h="11906" w:orient="landscape"/>
          <w:pgMar w:top="1588" w:right="1928" w:bottom="1474" w:left="1701" w:header="851" w:footer="992" w:gutter="0"/>
          <w:pgNumType w:fmt="numberInDash"/>
          <w:cols w:space="720" w:num="1"/>
          <w:docGrid w:type="lines" w:linePitch="312" w:charSpace="0"/>
        </w:sectPr>
      </w:pPr>
      <w:r>
        <w:drawing>
          <wp:inline distT="0" distB="0" distL="114300" distR="114300">
            <wp:extent cx="8378190" cy="6316980"/>
            <wp:effectExtent l="0" t="0" r="3810" b="7620"/>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2"/>
                    <a:stretch>
                      <a:fillRect/>
                    </a:stretch>
                  </pic:blipFill>
                  <pic:spPr>
                    <a:xfrm>
                      <a:off x="0" y="0"/>
                      <a:ext cx="8378190" cy="6316980"/>
                    </a:xfrm>
                    <a:prstGeom prst="rect">
                      <a:avLst/>
                    </a:prstGeom>
                    <a:noFill/>
                    <a:ln>
                      <a:noFill/>
                    </a:ln>
                  </pic:spPr>
                </pic:pic>
              </a:graphicData>
            </a:graphic>
          </wp:inline>
        </w:drawing>
      </w:r>
    </w:p>
    <w:p>
      <w:pPr>
        <w:sectPr>
          <w:pgSz w:w="11906" w:h="16838"/>
          <w:pgMar w:top="1928" w:right="1474" w:bottom="1701" w:left="1588" w:header="851" w:footer="992" w:gutter="0"/>
          <w:pgNumType w:fmt="numberInDash"/>
          <w:cols w:space="720" w:num="1"/>
          <w:docGrid w:type="lines" w:linePitch="312" w:charSpace="0"/>
        </w:sectPr>
      </w:pPr>
      <w:r>
        <w:object>
          <v:shape id="_x0000_i1025" o:spt="75" type="#_x0000_t75" style="height:537.6pt;width:442.2pt;" o:ole="t" filled="f" o:preferrelative="t" stroked="f" coordsize="21600,21600">
            <v:path/>
            <v:fill on="f" focussize="0,0"/>
            <v:stroke on="f"/>
            <v:imagedata r:id="rId14" o:title=""/>
            <o:lock v:ext="edit" aspectratio="f"/>
            <w10:wrap type="none"/>
            <w10:anchorlock/>
          </v:shape>
          <o:OLEObject Type="Embed" ProgID="Office12.Excel.Template" ShapeID="_x0000_i1025" DrawAspect="Content" ObjectID="_1468075727" r:id="rId13">
            <o:LockedField>false</o:LockedField>
          </o:OLEObject>
        </w:object>
      </w:r>
    </w:p>
    <w:p>
      <w:pPr>
        <w:sectPr>
          <w:pgSz w:w="16838" w:h="11906" w:orient="landscape"/>
          <w:pgMar w:top="1588" w:right="1928" w:bottom="1474" w:left="1701" w:header="851" w:footer="992" w:gutter="0"/>
          <w:pgNumType w:fmt="numberInDash"/>
          <w:cols w:space="720" w:num="1"/>
          <w:docGrid w:type="lines" w:linePitch="312" w:charSpace="0"/>
        </w:sectPr>
      </w:pPr>
      <w:r>
        <w:drawing>
          <wp:inline distT="0" distB="0" distL="114300" distR="114300">
            <wp:extent cx="6153150" cy="5343525"/>
            <wp:effectExtent l="0" t="0" r="0" b="9525"/>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5"/>
                    <a:stretch>
                      <a:fillRect/>
                    </a:stretch>
                  </pic:blipFill>
                  <pic:spPr>
                    <a:xfrm>
                      <a:off x="0" y="0"/>
                      <a:ext cx="6153150" cy="5343525"/>
                    </a:xfrm>
                    <a:prstGeom prst="rect">
                      <a:avLst/>
                    </a:prstGeom>
                    <a:noFill/>
                    <a:ln>
                      <a:noFill/>
                    </a:ln>
                  </pic:spPr>
                </pic:pic>
              </a:graphicData>
            </a:graphic>
          </wp:inline>
        </w:drawing>
      </w:r>
    </w:p>
    <w:p>
      <w:pPr>
        <w:sectPr>
          <w:pgSz w:w="16838" w:h="11906" w:orient="landscape"/>
          <w:pgMar w:top="1588" w:right="1928" w:bottom="1474" w:left="1701" w:header="851" w:footer="992" w:gutter="0"/>
          <w:pgNumType w:fmt="numberInDash"/>
          <w:cols w:space="720" w:num="1"/>
          <w:docGrid w:type="lines" w:linePitch="312" w:charSpace="0"/>
        </w:sectPr>
      </w:pPr>
      <w:r>
        <w:drawing>
          <wp:inline distT="0" distB="0" distL="114300" distR="114300">
            <wp:extent cx="8381365" cy="3734435"/>
            <wp:effectExtent l="0" t="0" r="635" b="18415"/>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16"/>
                    <a:stretch>
                      <a:fillRect/>
                    </a:stretch>
                  </pic:blipFill>
                  <pic:spPr>
                    <a:xfrm>
                      <a:off x="0" y="0"/>
                      <a:ext cx="8381365" cy="3734435"/>
                    </a:xfrm>
                    <a:prstGeom prst="rect">
                      <a:avLst/>
                    </a:prstGeom>
                    <a:noFill/>
                    <a:ln>
                      <a:noFill/>
                    </a:ln>
                  </pic:spPr>
                </pic:pic>
              </a:graphicData>
            </a:graphic>
          </wp:inline>
        </w:drawing>
      </w:r>
    </w:p>
    <w:p>
      <w:pPr>
        <w:sectPr>
          <w:pgSz w:w="11906" w:h="16838"/>
          <w:pgMar w:top="1928" w:right="1474" w:bottom="1701" w:left="1588" w:header="851" w:footer="992" w:gutter="0"/>
          <w:pgNumType w:fmt="numberInDash"/>
          <w:cols w:space="720" w:num="1"/>
          <w:docGrid w:type="lines" w:linePitch="312" w:charSpace="0"/>
        </w:sectPr>
      </w:pPr>
      <w:r>
        <w:drawing>
          <wp:inline distT="0" distB="0" distL="114300" distR="114300">
            <wp:extent cx="5238750" cy="7370445"/>
            <wp:effectExtent l="0" t="0" r="0" b="1905"/>
            <wp:docPr id="1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pic:cNvPicPr>
                      <a:picLocks noChangeAspect="1"/>
                    </pic:cNvPicPr>
                  </pic:nvPicPr>
                  <pic:blipFill>
                    <a:blip r:embed="rId17"/>
                    <a:stretch>
                      <a:fillRect/>
                    </a:stretch>
                  </pic:blipFill>
                  <pic:spPr>
                    <a:xfrm>
                      <a:off x="0" y="0"/>
                      <a:ext cx="5238750" cy="7370445"/>
                    </a:xfrm>
                    <a:prstGeom prst="rect">
                      <a:avLst/>
                    </a:prstGeom>
                    <a:noFill/>
                    <a:ln>
                      <a:noFill/>
                    </a:ln>
                  </pic:spPr>
                </pic:pic>
              </a:graphicData>
            </a:graphic>
          </wp:inline>
        </w:drawing>
      </w:r>
    </w:p>
    <w:p>
      <w:pPr>
        <w:rPr>
          <w:rFonts w:hint="eastAsia"/>
          <w:lang w:eastAsia="zh-CN"/>
        </w:rPr>
      </w:pPr>
      <w:r>
        <w:drawing>
          <wp:inline distT="0" distB="0" distL="114300" distR="114300">
            <wp:extent cx="6774180" cy="5614035"/>
            <wp:effectExtent l="0" t="0" r="7620" b="5715"/>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pic:cNvPicPr>
                      <a:picLocks noChangeAspect="1"/>
                    </pic:cNvPicPr>
                  </pic:nvPicPr>
                  <pic:blipFill>
                    <a:blip r:embed="rId18"/>
                    <a:srcRect/>
                    <a:stretch>
                      <a:fillRect/>
                    </a:stretch>
                  </pic:blipFill>
                  <pic:spPr>
                    <a:xfrm>
                      <a:off x="0" y="0"/>
                      <a:ext cx="6774180" cy="5614035"/>
                    </a:xfrm>
                    <a:prstGeom prst="rect">
                      <a:avLst/>
                    </a:prstGeom>
                    <a:noFill/>
                    <a:ln>
                      <a:noFill/>
                    </a:ln>
                  </pic:spPr>
                </pic:pic>
              </a:graphicData>
            </a:graphic>
          </wp:inline>
        </w:drawing>
      </w:r>
    </w:p>
    <w:sectPr>
      <w:pgSz w:w="16838" w:h="11906" w:orient="landscape"/>
      <w:pgMar w:top="1588" w:right="1928" w:bottom="1474" w:left="170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br w:type="textWrapping"/>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YXhMj9ABAACiAwAADgAAAAAAAAABACAAAAAeAQAAZHJz&#10;L2Uyb0RvYy54bWxQSwUGAAAAAAYABgBZAQAAYAU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33935C"/>
    <w:multiLevelType w:val="singleLevel"/>
    <w:tmpl w:val="DF33935C"/>
    <w:lvl w:ilvl="0" w:tentative="0">
      <w:start w:val="3"/>
      <w:numFmt w:val="chineseCounting"/>
      <w:suff w:val="nothing"/>
      <w:lvlText w:val="（%1）"/>
      <w:lvlJc w:val="left"/>
      <w:rPr>
        <w:rFonts w:hint="eastAsia"/>
      </w:rPr>
    </w:lvl>
  </w:abstractNum>
  <w:abstractNum w:abstractNumId="1">
    <w:nsid w:val="0DD8C235"/>
    <w:multiLevelType w:val="singleLevel"/>
    <w:tmpl w:val="0DD8C235"/>
    <w:lvl w:ilvl="0" w:tentative="0">
      <w:start w:val="6"/>
      <w:numFmt w:val="chineseCounting"/>
      <w:suff w:val="nothing"/>
      <w:lvlText w:val="%1、"/>
      <w:lvlJc w:val="left"/>
      <w:rPr>
        <w:rFonts w:hint="eastAsia"/>
      </w:rPr>
    </w:lvl>
  </w:abstractNum>
  <w:abstractNum w:abstractNumId="2">
    <w:nsid w:val="21685CA6"/>
    <w:multiLevelType w:val="singleLevel"/>
    <w:tmpl w:val="21685CA6"/>
    <w:lvl w:ilvl="0" w:tentative="0">
      <w:start w:val="3"/>
      <w:numFmt w:val="chineseCounting"/>
      <w:suff w:val="nothing"/>
      <w:lvlText w:val="第%1部分　"/>
      <w:lvlJc w:val="left"/>
      <w:rPr>
        <w:rFonts w:hint="eastAsia"/>
      </w:rPr>
    </w:lvl>
  </w:abstractNum>
  <w:abstractNum w:abstractNumId="3">
    <w:nsid w:val="632FC893"/>
    <w:multiLevelType w:val="singleLevel"/>
    <w:tmpl w:val="632FC893"/>
    <w:lvl w:ilvl="0" w:tentative="0">
      <w:start w:val="1"/>
      <w:numFmt w:val="decimal"/>
      <w:suff w:val="nothing"/>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76F7A"/>
    <w:rsid w:val="00B72AD8"/>
    <w:rsid w:val="013541BA"/>
    <w:rsid w:val="01703541"/>
    <w:rsid w:val="017B30BD"/>
    <w:rsid w:val="017D435F"/>
    <w:rsid w:val="017E5193"/>
    <w:rsid w:val="020428B8"/>
    <w:rsid w:val="026F3846"/>
    <w:rsid w:val="02836FD5"/>
    <w:rsid w:val="03C46D8F"/>
    <w:rsid w:val="03D44A62"/>
    <w:rsid w:val="044D5B1A"/>
    <w:rsid w:val="048B7186"/>
    <w:rsid w:val="04D321FF"/>
    <w:rsid w:val="04DB402E"/>
    <w:rsid w:val="05DF66AD"/>
    <w:rsid w:val="06A5637E"/>
    <w:rsid w:val="06A72DBC"/>
    <w:rsid w:val="06B531E0"/>
    <w:rsid w:val="07987F3A"/>
    <w:rsid w:val="079A49B0"/>
    <w:rsid w:val="08457845"/>
    <w:rsid w:val="08565F2B"/>
    <w:rsid w:val="08C03183"/>
    <w:rsid w:val="090F1656"/>
    <w:rsid w:val="095D16F9"/>
    <w:rsid w:val="0A595C26"/>
    <w:rsid w:val="0A7D035D"/>
    <w:rsid w:val="0B1B379F"/>
    <w:rsid w:val="0C2B484F"/>
    <w:rsid w:val="0CF65105"/>
    <w:rsid w:val="0D3052C1"/>
    <w:rsid w:val="0D3E0EC0"/>
    <w:rsid w:val="0D5E63A2"/>
    <w:rsid w:val="0D8E3ED3"/>
    <w:rsid w:val="0DE6361C"/>
    <w:rsid w:val="0E1402A4"/>
    <w:rsid w:val="0ED66651"/>
    <w:rsid w:val="0F4B2187"/>
    <w:rsid w:val="0FC811AA"/>
    <w:rsid w:val="0FEE78F7"/>
    <w:rsid w:val="10EE5A51"/>
    <w:rsid w:val="11506DF0"/>
    <w:rsid w:val="11B3286E"/>
    <w:rsid w:val="11D63F19"/>
    <w:rsid w:val="12047838"/>
    <w:rsid w:val="12236F11"/>
    <w:rsid w:val="12C837BB"/>
    <w:rsid w:val="13BC5850"/>
    <w:rsid w:val="13FD18B6"/>
    <w:rsid w:val="14337C44"/>
    <w:rsid w:val="144A4668"/>
    <w:rsid w:val="151A34D5"/>
    <w:rsid w:val="15424482"/>
    <w:rsid w:val="156706A0"/>
    <w:rsid w:val="1569356D"/>
    <w:rsid w:val="15C9271F"/>
    <w:rsid w:val="15D96131"/>
    <w:rsid w:val="16D614E8"/>
    <w:rsid w:val="17882D6E"/>
    <w:rsid w:val="18560B05"/>
    <w:rsid w:val="18753A5C"/>
    <w:rsid w:val="192C1528"/>
    <w:rsid w:val="195C30D8"/>
    <w:rsid w:val="1A2E1C80"/>
    <w:rsid w:val="1AB92D67"/>
    <w:rsid w:val="1AF12881"/>
    <w:rsid w:val="1B19447B"/>
    <w:rsid w:val="1B892790"/>
    <w:rsid w:val="1BB643EE"/>
    <w:rsid w:val="1BF55EC8"/>
    <w:rsid w:val="1C0A1589"/>
    <w:rsid w:val="1C510A3E"/>
    <w:rsid w:val="1CCE7FA1"/>
    <w:rsid w:val="1CDD2241"/>
    <w:rsid w:val="1D301F18"/>
    <w:rsid w:val="1EE659CF"/>
    <w:rsid w:val="1F3A3D66"/>
    <w:rsid w:val="1F4B0708"/>
    <w:rsid w:val="1FDE7368"/>
    <w:rsid w:val="1FEC7EEC"/>
    <w:rsid w:val="20C07198"/>
    <w:rsid w:val="21396443"/>
    <w:rsid w:val="21BA56AD"/>
    <w:rsid w:val="2213765A"/>
    <w:rsid w:val="226A2D6A"/>
    <w:rsid w:val="228C632C"/>
    <w:rsid w:val="23AF5BF0"/>
    <w:rsid w:val="23AF6F37"/>
    <w:rsid w:val="23BF288C"/>
    <w:rsid w:val="24B311F6"/>
    <w:rsid w:val="25CB665B"/>
    <w:rsid w:val="263424AA"/>
    <w:rsid w:val="266D6A00"/>
    <w:rsid w:val="26F151C7"/>
    <w:rsid w:val="274B0AFA"/>
    <w:rsid w:val="27776FFE"/>
    <w:rsid w:val="27E31F31"/>
    <w:rsid w:val="286B4DA0"/>
    <w:rsid w:val="28984FAD"/>
    <w:rsid w:val="28C80E22"/>
    <w:rsid w:val="29074B40"/>
    <w:rsid w:val="2917137C"/>
    <w:rsid w:val="297D6B03"/>
    <w:rsid w:val="2B0C2D76"/>
    <w:rsid w:val="2B0C3EAD"/>
    <w:rsid w:val="2B826253"/>
    <w:rsid w:val="2BB934EB"/>
    <w:rsid w:val="2BC269C4"/>
    <w:rsid w:val="2C1B1395"/>
    <w:rsid w:val="2D1F7F9A"/>
    <w:rsid w:val="2DAA5A47"/>
    <w:rsid w:val="2E585CE1"/>
    <w:rsid w:val="2EB400EC"/>
    <w:rsid w:val="2F1D4DC1"/>
    <w:rsid w:val="2FC62651"/>
    <w:rsid w:val="308E6AF9"/>
    <w:rsid w:val="30923400"/>
    <w:rsid w:val="313123F3"/>
    <w:rsid w:val="319C193A"/>
    <w:rsid w:val="32A26F15"/>
    <w:rsid w:val="33722683"/>
    <w:rsid w:val="33C745E7"/>
    <w:rsid w:val="355224E5"/>
    <w:rsid w:val="3574745E"/>
    <w:rsid w:val="35842996"/>
    <w:rsid w:val="359953F6"/>
    <w:rsid w:val="35BD435E"/>
    <w:rsid w:val="360A1E07"/>
    <w:rsid w:val="36C44784"/>
    <w:rsid w:val="36D8231E"/>
    <w:rsid w:val="377961C7"/>
    <w:rsid w:val="38062869"/>
    <w:rsid w:val="380C30BB"/>
    <w:rsid w:val="38667657"/>
    <w:rsid w:val="38FE1C39"/>
    <w:rsid w:val="3B025FB6"/>
    <w:rsid w:val="3B3D50EA"/>
    <w:rsid w:val="3B8A746B"/>
    <w:rsid w:val="3BDF30D1"/>
    <w:rsid w:val="3CBD77E1"/>
    <w:rsid w:val="3D262B90"/>
    <w:rsid w:val="3D581806"/>
    <w:rsid w:val="3D7D006F"/>
    <w:rsid w:val="3E6A4B12"/>
    <w:rsid w:val="3F07555C"/>
    <w:rsid w:val="3F7D7501"/>
    <w:rsid w:val="3FD15CEE"/>
    <w:rsid w:val="3FEF38BC"/>
    <w:rsid w:val="40F15ED3"/>
    <w:rsid w:val="41527C6E"/>
    <w:rsid w:val="421B245F"/>
    <w:rsid w:val="42347735"/>
    <w:rsid w:val="423547C5"/>
    <w:rsid w:val="42617BF1"/>
    <w:rsid w:val="42BF44F0"/>
    <w:rsid w:val="43436E4C"/>
    <w:rsid w:val="44EE0440"/>
    <w:rsid w:val="45B05D27"/>
    <w:rsid w:val="45B11A91"/>
    <w:rsid w:val="45C21B92"/>
    <w:rsid w:val="467C5747"/>
    <w:rsid w:val="4728607B"/>
    <w:rsid w:val="47B14294"/>
    <w:rsid w:val="47BE63D3"/>
    <w:rsid w:val="47E40A91"/>
    <w:rsid w:val="48814E47"/>
    <w:rsid w:val="48EC3B9F"/>
    <w:rsid w:val="496A052F"/>
    <w:rsid w:val="49AF67DE"/>
    <w:rsid w:val="49E11110"/>
    <w:rsid w:val="4A611956"/>
    <w:rsid w:val="4A6310A1"/>
    <w:rsid w:val="4A7F6F6C"/>
    <w:rsid w:val="4B4662F0"/>
    <w:rsid w:val="4B5726D0"/>
    <w:rsid w:val="4BEB3884"/>
    <w:rsid w:val="4BF848CA"/>
    <w:rsid w:val="4BF87544"/>
    <w:rsid w:val="4C1848F5"/>
    <w:rsid w:val="4C8C56CF"/>
    <w:rsid w:val="4C9F7771"/>
    <w:rsid w:val="4CB6387A"/>
    <w:rsid w:val="4D322DA0"/>
    <w:rsid w:val="4D734E5E"/>
    <w:rsid w:val="4D997838"/>
    <w:rsid w:val="4DC9527D"/>
    <w:rsid w:val="4DD054FE"/>
    <w:rsid w:val="4E0D257D"/>
    <w:rsid w:val="4E400B75"/>
    <w:rsid w:val="4ED5324A"/>
    <w:rsid w:val="4F264C07"/>
    <w:rsid w:val="4F5670C1"/>
    <w:rsid w:val="4F993A40"/>
    <w:rsid w:val="4FCC3F8C"/>
    <w:rsid w:val="51626481"/>
    <w:rsid w:val="524416FB"/>
    <w:rsid w:val="52F8250C"/>
    <w:rsid w:val="53E14481"/>
    <w:rsid w:val="5460382F"/>
    <w:rsid w:val="54E267F3"/>
    <w:rsid w:val="554A2B2E"/>
    <w:rsid w:val="55696B3D"/>
    <w:rsid w:val="568708F3"/>
    <w:rsid w:val="582E1420"/>
    <w:rsid w:val="58544A39"/>
    <w:rsid w:val="58D71F0E"/>
    <w:rsid w:val="59014FD1"/>
    <w:rsid w:val="59A9165E"/>
    <w:rsid w:val="5A0A2E30"/>
    <w:rsid w:val="5A864D1E"/>
    <w:rsid w:val="5AA94553"/>
    <w:rsid w:val="5AD40454"/>
    <w:rsid w:val="5B400A7C"/>
    <w:rsid w:val="5B5361F1"/>
    <w:rsid w:val="5C4B4DC3"/>
    <w:rsid w:val="5C714D18"/>
    <w:rsid w:val="5C971392"/>
    <w:rsid w:val="5D405413"/>
    <w:rsid w:val="5D9D6E08"/>
    <w:rsid w:val="5DDF6758"/>
    <w:rsid w:val="5E76567B"/>
    <w:rsid w:val="5EBD034D"/>
    <w:rsid w:val="5EF217A2"/>
    <w:rsid w:val="5F475A09"/>
    <w:rsid w:val="5F9F7CE8"/>
    <w:rsid w:val="5FA4273E"/>
    <w:rsid w:val="5FF52857"/>
    <w:rsid w:val="60742C63"/>
    <w:rsid w:val="614B4F97"/>
    <w:rsid w:val="615B3570"/>
    <w:rsid w:val="61F56466"/>
    <w:rsid w:val="623D403A"/>
    <w:rsid w:val="62460465"/>
    <w:rsid w:val="626E59EE"/>
    <w:rsid w:val="631D0F03"/>
    <w:rsid w:val="63635C1A"/>
    <w:rsid w:val="6402413A"/>
    <w:rsid w:val="648D34EC"/>
    <w:rsid w:val="654008CE"/>
    <w:rsid w:val="65F03CD9"/>
    <w:rsid w:val="660230AF"/>
    <w:rsid w:val="660F6CDF"/>
    <w:rsid w:val="664708D7"/>
    <w:rsid w:val="66637295"/>
    <w:rsid w:val="66C33D7D"/>
    <w:rsid w:val="66ED4C39"/>
    <w:rsid w:val="6774487F"/>
    <w:rsid w:val="681B144E"/>
    <w:rsid w:val="682B5AD8"/>
    <w:rsid w:val="687F0D51"/>
    <w:rsid w:val="6918529C"/>
    <w:rsid w:val="691D3456"/>
    <w:rsid w:val="69487959"/>
    <w:rsid w:val="696B0165"/>
    <w:rsid w:val="69913605"/>
    <w:rsid w:val="6A2D4D1D"/>
    <w:rsid w:val="6B011B79"/>
    <w:rsid w:val="6B402FD1"/>
    <w:rsid w:val="6B705309"/>
    <w:rsid w:val="6BC66684"/>
    <w:rsid w:val="6BF91500"/>
    <w:rsid w:val="6C2A6A14"/>
    <w:rsid w:val="6C3216A7"/>
    <w:rsid w:val="6CFF61A9"/>
    <w:rsid w:val="6EBB432F"/>
    <w:rsid w:val="6F545D96"/>
    <w:rsid w:val="6FE10E10"/>
    <w:rsid w:val="70557A92"/>
    <w:rsid w:val="707F14F0"/>
    <w:rsid w:val="70FA64D2"/>
    <w:rsid w:val="71294148"/>
    <w:rsid w:val="7141319B"/>
    <w:rsid w:val="72DB7BDD"/>
    <w:rsid w:val="731C568E"/>
    <w:rsid w:val="734568B0"/>
    <w:rsid w:val="748845C4"/>
    <w:rsid w:val="754919BE"/>
    <w:rsid w:val="759A554C"/>
    <w:rsid w:val="75F31B1C"/>
    <w:rsid w:val="762358E9"/>
    <w:rsid w:val="7627398E"/>
    <w:rsid w:val="76920677"/>
    <w:rsid w:val="76DE1198"/>
    <w:rsid w:val="76EF7BF3"/>
    <w:rsid w:val="77CC7197"/>
    <w:rsid w:val="78AE64F1"/>
    <w:rsid w:val="78D537A5"/>
    <w:rsid w:val="78E332A2"/>
    <w:rsid w:val="78FA3CEA"/>
    <w:rsid w:val="791E4526"/>
    <w:rsid w:val="7924241A"/>
    <w:rsid w:val="79DB51A4"/>
    <w:rsid w:val="7A6A65DF"/>
    <w:rsid w:val="7B1B5D4A"/>
    <w:rsid w:val="7B55065A"/>
    <w:rsid w:val="7C0D002F"/>
    <w:rsid w:val="7C710BCF"/>
    <w:rsid w:val="7C7210A0"/>
    <w:rsid w:val="7C990496"/>
    <w:rsid w:val="7D975823"/>
    <w:rsid w:val="7E4D6200"/>
    <w:rsid w:val="7F5264A6"/>
    <w:rsid w:val="7FD63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11"/>
    <w:basedOn w:val="5"/>
    <w:qFormat/>
    <w:uiPriority w:val="0"/>
    <w:rPr>
      <w:rFonts w:hint="eastAsia" w:ascii="宋体" w:hAnsi="宋体" w:eastAsia="宋体" w:cs="宋体"/>
      <w:b/>
      <w:color w:val="000000"/>
      <w:sz w:val="40"/>
      <w:szCs w:val="4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2.bin"/><Relationship Id="rId7" Type="http://schemas.openxmlformats.org/officeDocument/2006/relationships/image" Target="media/image2.png"/><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emf"/><Relationship Id="rId13" Type="http://schemas.openxmlformats.org/officeDocument/2006/relationships/oleObject" Target="embeddings/oleObject3.bin"/><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2018-10-15T02:26:00Z</dcterms:created>
  <dc:creator>Administrator</dc:creator>
  <cp:lastModifiedBy>别、</cp:lastModifiedBy>
  <dcterms:modified xsi:type="dcterms:W3CDTF">2021-06-07T05:17:49Z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3395C8310B6649D1A97E8AC3DB2BBAF8</vt:lpwstr>
  </property>
</Properties>
</file>