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lang w:val="en-US" w:eastAsia="zh-CN"/>
        </w:rPr>
      </w:pPr>
    </w:p>
    <w:p>
      <w:pPr>
        <w:spacing w:line="500" w:lineRule="exact"/>
        <w:jc w:val="center"/>
        <w:rPr>
          <w:rFonts w:hint="eastAsia" w:ascii="黑体" w:hAnsi="文星仿宋" w:eastAsia="黑体"/>
          <w:bCs/>
          <w:sz w:val="36"/>
          <w:szCs w:val="36"/>
          <w:lang w:val="en-US" w:eastAsia="zh-CN"/>
        </w:rPr>
      </w:pPr>
    </w:p>
    <w:p>
      <w:pPr>
        <w:spacing w:line="500" w:lineRule="exact"/>
        <w:jc w:val="center"/>
        <w:rPr>
          <w:rFonts w:hint="eastAsia" w:ascii="黑体" w:hAnsi="文星仿宋" w:eastAsia="黑体"/>
          <w:bCs/>
          <w:sz w:val="36"/>
          <w:szCs w:val="36"/>
          <w:lang w:val="en-US" w:eastAsia="zh-CN"/>
        </w:rPr>
      </w:pPr>
    </w:p>
    <w:p>
      <w:pPr>
        <w:spacing w:line="500" w:lineRule="exact"/>
        <w:jc w:val="center"/>
        <w:rPr>
          <w:rFonts w:hint="eastAsia" w:ascii="黑体" w:hAnsi="文星仿宋" w:eastAsia="黑体"/>
          <w:bCs/>
          <w:sz w:val="36"/>
          <w:szCs w:val="36"/>
          <w:lang w:val="en-US" w:eastAsia="zh-CN"/>
        </w:rPr>
      </w:pPr>
    </w:p>
    <w:p>
      <w:pPr>
        <w:spacing w:line="500" w:lineRule="exact"/>
        <w:jc w:val="center"/>
        <w:rPr>
          <w:rFonts w:hint="eastAsia" w:ascii="黑体" w:hAnsi="文星仿宋" w:eastAsia="黑体"/>
          <w:bCs/>
          <w:sz w:val="48"/>
          <w:szCs w:val="48"/>
          <w:lang w:val="en-US" w:eastAsia="zh-CN"/>
        </w:rPr>
      </w:pPr>
      <w:r>
        <w:rPr>
          <w:rFonts w:hint="eastAsia" w:ascii="黑体" w:hAnsi="文星仿宋" w:eastAsia="黑体"/>
          <w:bCs/>
          <w:sz w:val="48"/>
          <w:szCs w:val="48"/>
          <w:lang w:val="en-US" w:eastAsia="zh-CN"/>
        </w:rPr>
        <w:t>2018年平顶山市城乡一体化示范区</w:t>
      </w:r>
    </w:p>
    <w:p>
      <w:pPr>
        <w:spacing w:line="500" w:lineRule="exact"/>
        <w:jc w:val="center"/>
        <w:rPr>
          <w:rFonts w:hint="eastAsia" w:ascii="黑体" w:hAnsi="文星仿宋" w:eastAsia="黑体"/>
          <w:bCs/>
          <w:sz w:val="48"/>
          <w:szCs w:val="48"/>
          <w:lang w:val="en-US" w:eastAsia="zh-CN"/>
        </w:rPr>
      </w:pPr>
      <w:r>
        <w:rPr>
          <w:rFonts w:hint="eastAsia" w:ascii="黑体" w:hAnsi="文星仿宋" w:eastAsia="黑体"/>
          <w:bCs/>
          <w:sz w:val="48"/>
          <w:szCs w:val="48"/>
          <w:lang w:val="en-US" w:eastAsia="zh-CN"/>
        </w:rPr>
        <w:t>报市人大预算报告编制说明</w:t>
      </w:r>
    </w:p>
    <w:p>
      <w:pPr>
        <w:spacing w:line="500" w:lineRule="exact"/>
        <w:jc w:val="center"/>
        <w:rPr>
          <w:rFonts w:hint="eastAsia" w:ascii="黑体" w:hAnsi="文星仿宋" w:eastAsia="黑体"/>
          <w:bCs/>
          <w:sz w:val="48"/>
          <w:szCs w:val="48"/>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center"/>
        <w:rPr>
          <w:rFonts w:hint="eastAsia" w:ascii="黑体" w:hAnsi="文星仿宋" w:eastAsia="黑体"/>
          <w:bCs/>
          <w:sz w:val="36"/>
          <w:szCs w:val="36"/>
        </w:rPr>
      </w:pPr>
    </w:p>
    <w:p>
      <w:pPr>
        <w:spacing w:line="500" w:lineRule="exact"/>
        <w:jc w:val="both"/>
        <w:rPr>
          <w:rFonts w:hint="eastAsia" w:ascii="黑体" w:hAnsi="文星仿宋" w:eastAsia="黑体"/>
          <w:bCs/>
          <w:sz w:val="36"/>
          <w:szCs w:val="36"/>
        </w:rPr>
      </w:pPr>
    </w:p>
    <w:p>
      <w:pPr>
        <w:spacing w:line="500" w:lineRule="exact"/>
        <w:jc w:val="center"/>
        <w:rPr>
          <w:rFonts w:ascii="黑体" w:hAnsi="文星仿宋" w:eastAsia="黑体"/>
          <w:bCs/>
          <w:sz w:val="36"/>
          <w:szCs w:val="36"/>
        </w:rPr>
      </w:pPr>
      <w:r>
        <w:rPr>
          <w:rFonts w:hint="eastAsia" w:ascii="黑体" w:hAnsi="文星仿宋" w:eastAsia="黑体"/>
          <w:bCs/>
          <w:sz w:val="36"/>
          <w:szCs w:val="36"/>
        </w:rPr>
        <w:t>编报说明</w:t>
      </w:r>
    </w:p>
    <w:p>
      <w:pPr>
        <w:spacing w:line="500" w:lineRule="exact"/>
      </w:pPr>
    </w:p>
    <w:p>
      <w:pPr>
        <w:adjustRightInd w:val="0"/>
        <w:snapToGrid w:val="0"/>
        <w:spacing w:line="560" w:lineRule="exact"/>
        <w:ind w:firstLine="640" w:firstLineChars="200"/>
        <w:rPr>
          <w:rFonts w:ascii="仿宋_GB2312" w:hAnsi="文星仿宋" w:eastAsia="仿宋_GB2312"/>
          <w:sz w:val="32"/>
          <w:szCs w:val="32"/>
        </w:rPr>
      </w:pPr>
      <w:r>
        <w:rPr>
          <w:rFonts w:ascii="仿宋_GB2312" w:hAnsi="文星仿宋" w:eastAsia="仿宋_GB2312"/>
          <w:sz w:val="32"/>
          <w:szCs w:val="32"/>
        </w:rPr>
        <w:t>2018</w:t>
      </w:r>
      <w:r>
        <w:rPr>
          <w:rFonts w:hint="eastAsia" w:ascii="仿宋_GB2312" w:hAnsi="文星仿宋" w:eastAsia="仿宋_GB2312"/>
          <w:sz w:val="32"/>
          <w:szCs w:val="32"/>
        </w:rPr>
        <w:t>年政府收支分类科目在</w:t>
      </w:r>
      <w:r>
        <w:rPr>
          <w:rFonts w:ascii="仿宋_GB2312" w:hAnsi="文星仿宋" w:eastAsia="仿宋_GB2312"/>
          <w:sz w:val="32"/>
          <w:szCs w:val="32"/>
        </w:rPr>
        <w:t>2017</w:t>
      </w:r>
      <w:r>
        <w:rPr>
          <w:rFonts w:hint="eastAsia" w:ascii="仿宋_GB2312" w:hAnsi="文星仿宋" w:eastAsia="仿宋_GB2312"/>
          <w:sz w:val="32"/>
          <w:szCs w:val="32"/>
        </w:rPr>
        <w:t>年的基础上主要作了如下调整：</w:t>
      </w:r>
    </w:p>
    <w:p>
      <w:pPr>
        <w:adjustRightInd w:val="0"/>
        <w:snapToGrid w:val="0"/>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、根据财政部《支出经济分类科目改革方案》（财预〔</w:t>
      </w:r>
      <w:r>
        <w:rPr>
          <w:rFonts w:ascii="仿宋_GB2312" w:eastAsia="仿宋_GB2312"/>
          <w:sz w:val="32"/>
          <w:szCs w:val="32"/>
        </w:rPr>
        <w:t>2017</w:t>
      </w:r>
      <w:r>
        <w:rPr>
          <w:rFonts w:hint="eastAsia" w:ascii="仿宋_GB2312" w:eastAsia="仿宋_GB2312"/>
          <w:sz w:val="32"/>
          <w:szCs w:val="32"/>
        </w:rPr>
        <w:t>〕</w:t>
      </w:r>
      <w:r>
        <w:rPr>
          <w:rFonts w:ascii="仿宋_GB2312" w:eastAsia="仿宋_GB2312"/>
          <w:sz w:val="32"/>
          <w:szCs w:val="32"/>
        </w:rPr>
        <w:t>98</w:t>
      </w:r>
      <w:r>
        <w:rPr>
          <w:rFonts w:hint="eastAsia" w:ascii="仿宋_GB2312" w:eastAsia="仿宋_GB2312"/>
          <w:sz w:val="32"/>
          <w:szCs w:val="32"/>
        </w:rPr>
        <w:t>号）规定，修订相关支出经济分类科目内容。</w:t>
      </w:r>
    </w:p>
    <w:p>
      <w:pPr>
        <w:adjustRightInd w:val="0"/>
        <w:snapToGrid w:val="0"/>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、根据《中华人民共和国环境保护税法》规定，环境保护税从</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w:t>
      </w:r>
      <w:r>
        <w:rPr>
          <w:rFonts w:hint="eastAsia" w:ascii="仿宋_GB2312" w:eastAsia="仿宋_GB2312"/>
          <w:sz w:val="32"/>
          <w:szCs w:val="32"/>
        </w:rPr>
        <w:t>月</w:t>
      </w:r>
      <w:r>
        <w:rPr>
          <w:rFonts w:ascii="仿宋_GB2312" w:eastAsia="仿宋_GB2312"/>
          <w:sz w:val="32"/>
          <w:szCs w:val="32"/>
        </w:rPr>
        <w:t>1</w:t>
      </w:r>
      <w:r>
        <w:rPr>
          <w:rFonts w:hint="eastAsia" w:ascii="仿宋_GB2312" w:eastAsia="仿宋_GB2312"/>
          <w:sz w:val="32"/>
          <w:szCs w:val="32"/>
        </w:rPr>
        <w:t>日开征，排污费不再征收，</w:t>
      </w:r>
      <w:r>
        <w:rPr>
          <w:rFonts w:ascii="仿宋_GB2312" w:eastAsia="仿宋_GB2312"/>
          <w:sz w:val="32"/>
          <w:szCs w:val="32"/>
        </w:rPr>
        <w:t>2018</w:t>
      </w:r>
      <w:r>
        <w:rPr>
          <w:rFonts w:hint="eastAsia" w:ascii="仿宋_GB2312" w:eastAsia="仿宋_GB2312"/>
          <w:sz w:val="32"/>
          <w:szCs w:val="32"/>
        </w:rPr>
        <w:t>年一般公共预算相应增设“环境保护税”科目。</w:t>
      </w:r>
    </w:p>
    <w:p>
      <w:pPr>
        <w:adjustRightInd w:val="0"/>
        <w:snapToGrid w:val="0"/>
        <w:spacing w:line="560" w:lineRule="exact"/>
        <w:ind w:firstLine="640" w:firstLineChars="200"/>
        <w:rPr>
          <w:rFonts w:ascii="仿宋_GB2312" w:hAnsi="文星仿宋" w:eastAsia="仿宋_GB2312"/>
          <w:sz w:val="32"/>
          <w:szCs w:val="32"/>
        </w:rPr>
      </w:pPr>
      <w:r>
        <w:rPr>
          <w:rFonts w:ascii="仿宋_GB2312" w:eastAsia="仿宋_GB2312"/>
          <w:sz w:val="32"/>
          <w:szCs w:val="32"/>
        </w:rPr>
        <w:t>3</w:t>
      </w:r>
      <w:r>
        <w:rPr>
          <w:rFonts w:hint="eastAsia" w:ascii="仿宋_GB2312" w:eastAsia="仿宋_GB2312"/>
          <w:sz w:val="32"/>
          <w:szCs w:val="32"/>
        </w:rPr>
        <w:t>、根据《财政部</w:t>
      </w:r>
      <w:r>
        <w:rPr>
          <w:rFonts w:ascii="仿宋_GB2312" w:eastAsia="仿宋_GB2312"/>
          <w:sz w:val="32"/>
          <w:szCs w:val="32"/>
        </w:rPr>
        <w:t xml:space="preserve"> </w:t>
      </w:r>
      <w:r>
        <w:rPr>
          <w:rFonts w:hint="eastAsia" w:ascii="仿宋_GB2312" w:eastAsia="仿宋_GB2312"/>
          <w:sz w:val="32"/>
          <w:szCs w:val="32"/>
        </w:rPr>
        <w:t>国家税务总局</w:t>
      </w:r>
      <w:r>
        <w:rPr>
          <w:rFonts w:ascii="仿宋_GB2312" w:eastAsia="仿宋_GB2312"/>
          <w:sz w:val="32"/>
          <w:szCs w:val="32"/>
        </w:rPr>
        <w:t xml:space="preserve"> </w:t>
      </w:r>
      <w:r>
        <w:rPr>
          <w:rFonts w:hint="eastAsia" w:ascii="仿宋_GB2312" w:eastAsia="仿宋_GB2312"/>
          <w:sz w:val="32"/>
          <w:szCs w:val="32"/>
        </w:rPr>
        <w:t>水利部关于印发</w:t>
      </w:r>
      <w:r>
        <w:rPr>
          <w:rFonts w:ascii="仿宋_GB2312" w:eastAsia="仿宋_GB2312"/>
          <w:sz w:val="32"/>
          <w:szCs w:val="32"/>
        </w:rPr>
        <w:t>&lt;</w:t>
      </w:r>
      <w:r>
        <w:rPr>
          <w:rFonts w:hint="eastAsia" w:ascii="仿宋_GB2312" w:eastAsia="仿宋_GB2312"/>
          <w:sz w:val="32"/>
          <w:szCs w:val="32"/>
        </w:rPr>
        <w:t>扩大水资源税改革试点实施办法</w:t>
      </w:r>
      <w:r>
        <w:rPr>
          <w:rFonts w:ascii="仿宋_GB2312" w:eastAsia="仿宋_GB2312"/>
          <w:sz w:val="32"/>
          <w:szCs w:val="32"/>
        </w:rPr>
        <w:t>&gt;</w:t>
      </w:r>
      <w:r>
        <w:rPr>
          <w:rFonts w:hint="eastAsia" w:ascii="仿宋_GB2312" w:eastAsia="仿宋_GB2312"/>
          <w:sz w:val="32"/>
          <w:szCs w:val="32"/>
        </w:rPr>
        <w:t>的通知》（财税〔</w:t>
      </w:r>
      <w:r>
        <w:rPr>
          <w:rFonts w:ascii="仿宋_GB2312" w:eastAsia="仿宋_GB2312"/>
          <w:sz w:val="32"/>
          <w:szCs w:val="32"/>
        </w:rPr>
        <w:t>2017</w:t>
      </w:r>
      <w:r>
        <w:rPr>
          <w:rFonts w:hint="eastAsia" w:ascii="仿宋_GB2312" w:eastAsia="仿宋_GB2312"/>
          <w:sz w:val="32"/>
          <w:szCs w:val="32"/>
        </w:rPr>
        <w:t>〕</w:t>
      </w:r>
      <w:r>
        <w:rPr>
          <w:rFonts w:ascii="仿宋_GB2312" w:eastAsia="仿宋_GB2312"/>
          <w:sz w:val="32"/>
          <w:szCs w:val="32"/>
        </w:rPr>
        <w:t>80</w:t>
      </w:r>
      <w:r>
        <w:rPr>
          <w:rFonts w:hint="eastAsia" w:ascii="仿宋_GB2312" w:eastAsia="仿宋_GB2312"/>
          <w:sz w:val="32"/>
          <w:szCs w:val="32"/>
        </w:rPr>
        <w:t>号）规定，河南省自</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1</w:t>
      </w:r>
      <w:r>
        <w:rPr>
          <w:rFonts w:hint="eastAsia" w:ascii="仿宋_GB2312" w:eastAsia="仿宋_GB2312"/>
          <w:sz w:val="32"/>
          <w:szCs w:val="32"/>
        </w:rPr>
        <w:t>日起实施水资源税改革试点，在“资源税”款级科目下增设“水资源税”项级科目，水资源费征收标准降为零。</w:t>
      </w:r>
    </w:p>
    <w:p>
      <w:pPr>
        <w:adjustRightInd w:val="0"/>
        <w:snapToGrid w:val="0"/>
        <w:spacing w:line="560" w:lineRule="exact"/>
        <w:ind w:firstLine="640" w:firstLineChars="200"/>
        <w:rPr>
          <w:rFonts w:ascii="仿宋_GB2312" w:hAnsi="文星仿宋" w:eastAsia="仿宋_GB2312"/>
          <w:sz w:val="32"/>
          <w:szCs w:val="32"/>
        </w:rPr>
      </w:pPr>
      <w:r>
        <w:rPr>
          <w:rFonts w:ascii="仿宋_GB2312" w:hAnsi="文星仿宋" w:eastAsia="仿宋_GB2312"/>
          <w:sz w:val="32"/>
          <w:szCs w:val="32"/>
        </w:rPr>
        <w:t>4</w:t>
      </w:r>
      <w:r>
        <w:rPr>
          <w:rFonts w:hint="eastAsia" w:ascii="仿宋_GB2312" w:hAnsi="文星仿宋" w:eastAsia="仿宋_GB2312"/>
          <w:sz w:val="32"/>
          <w:szCs w:val="32"/>
        </w:rPr>
        <w:t>、根据《财政部关于取消、调整部分政府性基金有关政策的通知》（</w:t>
      </w:r>
      <w:r>
        <w:rPr>
          <w:rFonts w:hint="eastAsia" w:ascii="仿宋_GB2312" w:eastAsia="仿宋_GB2312"/>
          <w:sz w:val="32"/>
          <w:szCs w:val="32"/>
        </w:rPr>
        <w:t>财税〔</w:t>
      </w:r>
      <w:r>
        <w:rPr>
          <w:rFonts w:ascii="仿宋_GB2312" w:eastAsia="仿宋_GB2312"/>
          <w:sz w:val="32"/>
          <w:szCs w:val="32"/>
        </w:rPr>
        <w:t>2017</w:t>
      </w:r>
      <w:r>
        <w:rPr>
          <w:rFonts w:hint="eastAsia" w:ascii="仿宋_GB2312" w:eastAsia="仿宋_GB2312"/>
          <w:sz w:val="32"/>
          <w:szCs w:val="32"/>
        </w:rPr>
        <w:t>〕</w:t>
      </w:r>
      <w:r>
        <w:rPr>
          <w:rFonts w:ascii="仿宋_GB2312" w:eastAsia="仿宋_GB2312"/>
          <w:sz w:val="32"/>
          <w:szCs w:val="32"/>
        </w:rPr>
        <w:t>18</w:t>
      </w:r>
      <w:r>
        <w:rPr>
          <w:rFonts w:hint="eastAsia" w:ascii="仿宋_GB2312" w:eastAsia="仿宋_GB2312"/>
          <w:sz w:val="32"/>
          <w:szCs w:val="32"/>
        </w:rPr>
        <w:t>号</w:t>
      </w:r>
      <w:r>
        <w:rPr>
          <w:rFonts w:hint="eastAsia" w:ascii="仿宋_GB2312" w:hAnsi="文星仿宋" w:eastAsia="仿宋_GB2312"/>
          <w:sz w:val="32"/>
          <w:szCs w:val="32"/>
        </w:rPr>
        <w:t>）规定，删除城市公用事业附加和新型墙体材料专项基金收支科目以及与此相关的债务收支科目。</w:t>
      </w: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outlineLvl w:val="0"/>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r>
        <w:rPr>
          <w:rFonts w:hint="eastAsia" w:ascii="宋体" w:hAnsi="宋体"/>
          <w:b/>
          <w:sz w:val="36"/>
          <w:szCs w:val="36"/>
        </w:rPr>
        <w:t>关于</w:t>
      </w:r>
      <w:r>
        <w:rPr>
          <w:rFonts w:ascii="宋体" w:hAnsi="宋体"/>
          <w:b/>
          <w:sz w:val="36"/>
          <w:szCs w:val="36"/>
        </w:rPr>
        <w:t>2018</w:t>
      </w:r>
      <w:r>
        <w:rPr>
          <w:rFonts w:hint="eastAsia" w:ascii="宋体" w:hAnsi="宋体"/>
          <w:b/>
          <w:sz w:val="36"/>
          <w:szCs w:val="36"/>
        </w:rPr>
        <w:t>年城乡一体化示范区一般公共预算收入</w:t>
      </w: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r>
        <w:rPr>
          <w:rFonts w:hint="eastAsia" w:ascii="宋体" w:hAnsi="宋体"/>
          <w:b/>
          <w:sz w:val="36"/>
          <w:szCs w:val="36"/>
        </w:rPr>
        <w:t>预算情况的说明</w:t>
      </w: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2018年城乡一体化示范区一般公共预算收入总计65947万元，其中：区级收入36899；上级补助收入29048万元（返还性收入4113万元，一般性转移支付收入22726万元，专项转移支付收入2209万元）。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一、区级收入主要项目情况</w:t>
      </w:r>
    </w:p>
    <w:p>
      <w:pPr>
        <w:keepNext w:val="0"/>
        <w:keepLines w:val="0"/>
        <w:pageBreakBefore w:val="0"/>
        <w:widowControl w:val="0"/>
        <w:kinsoku/>
        <w:wordWrap/>
        <w:overflowPunct/>
        <w:topLinePunct w:val="0"/>
        <w:bidi w:val="0"/>
        <w:adjustRightInd w:val="0"/>
        <w:snapToGrid w:val="0"/>
        <w:spacing w:line="560" w:lineRule="exact"/>
        <w:ind w:firstLine="697" w:firstLineChars="218"/>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级一般公共预算收入36899万元，可比口径增长15%（2018年我市财政体制改革，按新财政体制测算，2017年一般公共预算收入实际完成32086万元）；税收收入34900万元，可比口径增长15%；非税收入1999万元，可比口径增长18.9%。主要项目情况是：</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1、增值税14500万元。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2、企业所得税1500万元。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3、城市维护建设税等18900万元。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4、专项收入1315万元。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5、行政事业性收费210万元。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6、国有资源（资产）有偿使用收入80万元。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二、上级补助收入项目情况</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上级补助收入29048万元，其中：返还性收入4113万元，一般性转移支付收入22726万元，专项转移支付收入2209万元。具体项目情况是：</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1、返还性收入4113万元，其中：增值税税收返还4113万元。</w:t>
      </w:r>
    </w:p>
    <w:p>
      <w:pPr>
        <w:keepNext w:val="0"/>
        <w:keepLines w:val="0"/>
        <w:pageBreakBefore w:val="0"/>
        <w:widowControl w:val="0"/>
        <w:kinsoku/>
        <w:wordWrap/>
        <w:overflowPunct/>
        <w:topLinePunct w:val="0"/>
        <w:bidi w:val="0"/>
        <w:adjustRightInd w:val="0"/>
        <w:snapToGrid w:val="0"/>
        <w:spacing w:line="56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2、一般性转移支付收入22726万元，其中：均衡性转移支付19387万元，基本养老金转移支付881万元，城乡居民医疗保险转移支付1822万元，城乡义务教育转移支付636万元。</w:t>
      </w:r>
    </w:p>
    <w:p>
      <w:pPr>
        <w:keepNext w:val="0"/>
        <w:keepLines w:val="0"/>
        <w:pageBreakBefore w:val="0"/>
        <w:widowControl w:val="0"/>
        <w:kinsoku/>
        <w:wordWrap/>
        <w:overflowPunct/>
        <w:topLinePunct w:val="0"/>
        <w:bidi w:val="0"/>
        <w:adjustRightInd w:val="0"/>
        <w:snapToGrid w:val="0"/>
        <w:spacing w:line="56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3、专项转移支付收入2209万元，其中：教育转移支付201万元，社会保障和就业转移支付1236万元，医疗卫生与计划生育转移支付387万元，农林水转移支付385万元。</w:t>
      </w:r>
    </w:p>
    <w:p>
      <w:pPr>
        <w:keepNext w:val="0"/>
        <w:keepLines w:val="0"/>
        <w:pageBreakBefore w:val="0"/>
        <w:widowControl w:val="0"/>
        <w:kinsoku/>
        <w:wordWrap/>
        <w:overflowPunct/>
        <w:topLinePunct w:val="0"/>
        <w:bidi w:val="0"/>
        <w:spacing w:line="560" w:lineRule="exact"/>
        <w:jc w:val="center"/>
        <w:textAlignment w:val="auto"/>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hint="eastAsia" w:ascii="宋体" w:hAnsi="宋体"/>
          <w:b/>
          <w:sz w:val="36"/>
          <w:szCs w:val="36"/>
        </w:rPr>
      </w:pP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r>
        <w:rPr>
          <w:rFonts w:hint="eastAsia" w:ascii="宋体" w:hAnsi="宋体"/>
          <w:b/>
          <w:sz w:val="36"/>
          <w:szCs w:val="36"/>
        </w:rPr>
        <w:t>关于</w:t>
      </w:r>
      <w:r>
        <w:rPr>
          <w:rFonts w:ascii="宋体" w:hAnsi="宋体"/>
          <w:b/>
          <w:sz w:val="36"/>
          <w:szCs w:val="36"/>
        </w:rPr>
        <w:t>2018</w:t>
      </w:r>
      <w:r>
        <w:rPr>
          <w:rFonts w:hint="eastAsia" w:ascii="宋体" w:hAnsi="宋体"/>
          <w:b/>
          <w:sz w:val="36"/>
          <w:szCs w:val="36"/>
        </w:rPr>
        <w:t>年城乡一体化示范区一般公共预算支出</w:t>
      </w:r>
    </w:p>
    <w:p>
      <w:pPr>
        <w:keepNext w:val="0"/>
        <w:keepLines w:val="0"/>
        <w:pageBreakBefore w:val="0"/>
        <w:widowControl w:val="0"/>
        <w:kinsoku/>
        <w:wordWrap/>
        <w:overflowPunct/>
        <w:topLinePunct w:val="0"/>
        <w:bidi w:val="0"/>
        <w:spacing w:line="560" w:lineRule="exact"/>
        <w:jc w:val="center"/>
        <w:textAlignment w:val="auto"/>
        <w:rPr>
          <w:rFonts w:ascii="宋体"/>
          <w:b/>
          <w:sz w:val="36"/>
          <w:szCs w:val="36"/>
        </w:rPr>
      </w:pPr>
      <w:r>
        <w:rPr>
          <w:rFonts w:hint="eastAsia" w:ascii="宋体" w:hAnsi="宋体"/>
          <w:b/>
          <w:sz w:val="36"/>
          <w:szCs w:val="36"/>
        </w:rPr>
        <w:t>预算情况的说明</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line="560" w:lineRule="exact"/>
        <w:ind w:firstLine="697" w:firstLineChars="218"/>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2018年城乡一体化示范区一般公共预算支出总计65947万元，其中：区本级支出53895万元，上解上级支出11212万元。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一、区级支出主要项目情况</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区级一般公共预算支出53895万元，可比口径增长8.4%。其中：人员和公用经费等基本支出25161万元，占46%；项目支出28734万元，占54%。主要支出项目情况是： </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1、一般公共服务支出9160万元，增长22.4%。</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2、教育支出9283，增长5.8%。</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3、科学技术支出1262万元，增长2.7%。</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4、文化体育与传媒支出261万元，增长6.1%。</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5、社会保障和就业支出6845，增长12.1%。</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6、医疗卫生与计划生育支出5414，增长8.3%。</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7、农林水支出2222万元，增长18.7%。</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8、住房保障支出1057万元，增长5.1%。</w:t>
      </w:r>
    </w:p>
    <w:p>
      <w:pPr>
        <w:keepNext w:val="0"/>
        <w:keepLines w:val="0"/>
        <w:pageBreakBefore w:val="0"/>
        <w:widowControl w:val="0"/>
        <w:kinsoku/>
        <w:wordWrap/>
        <w:overflowPunct/>
        <w:topLinePunct w:val="0"/>
        <w:bidi w:val="0"/>
        <w:adjustRightInd w:val="0"/>
        <w:snapToGrid w:val="0"/>
        <w:spacing w:line="560" w:lineRule="exact"/>
        <w:ind w:firstLine="537" w:firstLineChars="168"/>
        <w:textAlignment w:val="auto"/>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sz w:val="32"/>
          <w:szCs w:val="32"/>
        </w:rPr>
        <w:t>9、预备费500万元</w:t>
      </w:r>
      <w:r>
        <w:rPr>
          <w:rFonts w:hint="eastAsia" w:ascii="仿宋_GB2312" w:hAnsi="仿宋_GB2312" w:eastAsia="仿宋_GB2312" w:cs="仿宋_GB2312"/>
          <w:kern w:val="0"/>
          <w:sz w:val="32"/>
          <w:szCs w:val="32"/>
          <w:lang w:val="zh-CN"/>
        </w:rPr>
        <w:t>。</w:t>
      </w:r>
    </w:p>
    <w:p>
      <w:pPr>
        <w:keepNext w:val="0"/>
        <w:keepLines w:val="0"/>
        <w:pageBreakBefore w:val="0"/>
        <w:widowControl w:val="0"/>
        <w:kinsoku/>
        <w:wordWrap/>
        <w:overflowPunct/>
        <w:topLinePunct w:val="0"/>
        <w:bidi w:val="0"/>
        <w:adjustRightInd w:val="0"/>
        <w:snapToGrid w:val="0"/>
        <w:spacing w:line="56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二、上解上级支出项目情况</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ascii="宋体"/>
          <w:b/>
          <w:sz w:val="36"/>
          <w:szCs w:val="36"/>
        </w:rPr>
      </w:pPr>
      <w:r>
        <w:rPr>
          <w:rFonts w:hint="eastAsia" w:ascii="仿宋_GB2312" w:hAnsi="仿宋_GB2312" w:eastAsia="仿宋_GB2312" w:cs="仿宋_GB2312"/>
          <w:sz w:val="32"/>
          <w:szCs w:val="32"/>
        </w:rPr>
        <w:t>上解上级支出11212万元，其中：原体制基数上解667万元，专项上解10545万元。</w:t>
      </w:r>
      <w:r>
        <w:rPr>
          <w:rFonts w:hint="eastAsia" w:ascii="仿宋_GB2312" w:hAnsi="仿宋_GB2312" w:eastAsia="仿宋_GB2312" w:cs="仿宋_GB2312"/>
          <w:b/>
          <w:sz w:val="36"/>
          <w:szCs w:val="36"/>
        </w:rPr>
        <w:br w:type="page"/>
      </w:r>
    </w:p>
    <w:p>
      <w:pPr>
        <w:keepNext w:val="0"/>
        <w:keepLines w:val="0"/>
        <w:pageBreakBefore w:val="0"/>
        <w:widowControl w:val="0"/>
        <w:kinsoku/>
        <w:wordWrap/>
        <w:overflowPunct/>
        <w:topLinePunct w:val="0"/>
        <w:bidi w:val="0"/>
        <w:spacing w:line="560" w:lineRule="exact"/>
        <w:jc w:val="center"/>
        <w:textAlignment w:val="auto"/>
        <w:outlineLvl w:val="0"/>
        <w:rPr>
          <w:rFonts w:ascii="宋体"/>
          <w:b/>
          <w:sz w:val="36"/>
          <w:szCs w:val="36"/>
        </w:rPr>
      </w:pPr>
      <w:r>
        <w:rPr>
          <w:rFonts w:hint="eastAsia" w:ascii="宋体" w:hAnsi="宋体"/>
          <w:b/>
          <w:sz w:val="36"/>
          <w:szCs w:val="36"/>
        </w:rPr>
        <w:t>关于</w:t>
      </w:r>
      <w:r>
        <w:rPr>
          <w:rFonts w:ascii="宋体" w:hAnsi="宋体"/>
          <w:b/>
          <w:sz w:val="36"/>
          <w:szCs w:val="36"/>
        </w:rPr>
        <w:t>2018</w:t>
      </w:r>
      <w:r>
        <w:rPr>
          <w:rFonts w:hint="eastAsia" w:ascii="宋体" w:hAnsi="宋体"/>
          <w:b/>
          <w:sz w:val="36"/>
          <w:szCs w:val="36"/>
        </w:rPr>
        <w:t>年城乡一体化示范区政府性基金收支预算</w:t>
      </w:r>
    </w:p>
    <w:p>
      <w:pPr>
        <w:keepNext w:val="0"/>
        <w:keepLines w:val="0"/>
        <w:pageBreakBefore w:val="0"/>
        <w:widowControl w:val="0"/>
        <w:kinsoku/>
        <w:wordWrap/>
        <w:overflowPunct/>
        <w:topLinePunct w:val="0"/>
        <w:bidi w:val="0"/>
        <w:spacing w:line="560" w:lineRule="exact"/>
        <w:jc w:val="center"/>
        <w:textAlignment w:val="auto"/>
        <w:outlineLvl w:val="0"/>
        <w:rPr>
          <w:rFonts w:ascii="宋体"/>
          <w:b/>
          <w:sz w:val="36"/>
          <w:szCs w:val="36"/>
        </w:rPr>
      </w:pPr>
      <w:r>
        <w:rPr>
          <w:rFonts w:hint="eastAsia" w:ascii="宋体" w:hAnsi="宋体"/>
          <w:b/>
          <w:sz w:val="36"/>
          <w:szCs w:val="36"/>
        </w:rPr>
        <w:t>情况的说明</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rPr>
        <w:t>2018</w:t>
      </w:r>
      <w:r>
        <w:rPr>
          <w:rFonts w:hint="eastAsia" w:ascii="仿宋_GB2312" w:hAnsi="仿宋_GB2312" w:eastAsia="仿宋_GB2312" w:cs="仿宋_GB2312"/>
          <w:kern w:val="0"/>
          <w:sz w:val="32"/>
          <w:szCs w:val="32"/>
          <w:lang w:val="zh-CN"/>
        </w:rPr>
        <w:t>年城乡一体化示范区政府性基金收入预算总计</w:t>
      </w:r>
      <w:r>
        <w:rPr>
          <w:rFonts w:hint="eastAsia" w:ascii="仿宋_GB2312" w:hAnsi="仿宋_GB2312" w:eastAsia="仿宋_GB2312" w:cs="仿宋_GB2312"/>
          <w:kern w:val="0"/>
          <w:sz w:val="32"/>
          <w:szCs w:val="32"/>
        </w:rPr>
        <w:t>1474万元</w:t>
      </w:r>
      <w:r>
        <w:rPr>
          <w:rFonts w:hint="eastAsia" w:ascii="仿宋_GB2312" w:hAnsi="仿宋_GB2312" w:eastAsia="仿宋_GB2312" w:cs="仿宋_GB2312"/>
          <w:kern w:val="0"/>
          <w:sz w:val="32"/>
          <w:szCs w:val="32"/>
          <w:lang w:val="zh-CN"/>
        </w:rPr>
        <w:t>，其中：上级补助收入</w:t>
      </w:r>
      <w:r>
        <w:rPr>
          <w:rFonts w:hint="eastAsia" w:ascii="仿宋_GB2312" w:hAnsi="仿宋_GB2312" w:eastAsia="仿宋_GB2312" w:cs="仿宋_GB2312"/>
          <w:kern w:val="0"/>
          <w:sz w:val="32"/>
          <w:szCs w:val="32"/>
        </w:rPr>
        <w:t>1474万元</w:t>
      </w:r>
      <w:r>
        <w:rPr>
          <w:rFonts w:hint="eastAsia" w:ascii="仿宋_GB2312" w:hAnsi="仿宋_GB2312" w:eastAsia="仿宋_GB2312" w:cs="仿宋_GB2312"/>
          <w:kern w:val="0"/>
          <w:sz w:val="32"/>
          <w:szCs w:val="32"/>
          <w:lang w:val="zh-CN"/>
        </w:rPr>
        <w:t>。</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因2018年我市财政体制改革，政府性基金收入全部缴入市财政，上级补助收入1474万元，其中：大中型水库移民后期扶持基金1441万元，彩票公益金33万元。</w:t>
      </w:r>
    </w:p>
    <w:p>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rPr>
        <w:t>2018</w:t>
      </w:r>
      <w:r>
        <w:rPr>
          <w:rFonts w:hint="eastAsia" w:ascii="仿宋_GB2312" w:hAnsi="仿宋_GB2312" w:eastAsia="仿宋_GB2312" w:cs="仿宋_GB2312"/>
          <w:kern w:val="0"/>
          <w:sz w:val="32"/>
          <w:szCs w:val="32"/>
          <w:lang w:val="zh-CN"/>
        </w:rPr>
        <w:t>年城乡一体化示范区政府性基金支出预算总计</w:t>
      </w:r>
      <w:r>
        <w:rPr>
          <w:rFonts w:hint="eastAsia" w:ascii="仿宋_GB2312" w:hAnsi="仿宋_GB2312" w:eastAsia="仿宋_GB2312" w:cs="仿宋_GB2312"/>
          <w:kern w:val="0"/>
          <w:sz w:val="32"/>
          <w:szCs w:val="32"/>
        </w:rPr>
        <w:t>1474万元</w:t>
      </w:r>
      <w:r>
        <w:rPr>
          <w:rFonts w:hint="eastAsia" w:ascii="仿宋_GB2312" w:hAnsi="仿宋_GB2312" w:eastAsia="仿宋_GB2312" w:cs="仿宋_GB2312"/>
          <w:kern w:val="0"/>
          <w:sz w:val="32"/>
          <w:szCs w:val="32"/>
          <w:lang w:val="zh-CN"/>
        </w:rPr>
        <w:t>，</w:t>
      </w:r>
      <w:r>
        <w:rPr>
          <w:rFonts w:hint="eastAsia" w:ascii="仿宋_GB2312" w:hAnsi="仿宋_GB2312" w:eastAsia="仿宋_GB2312" w:cs="仿宋_GB2312"/>
          <w:sz w:val="32"/>
          <w:szCs w:val="32"/>
        </w:rPr>
        <w:t>其中：上级补助收入安排支出1474万元。</w:t>
      </w:r>
    </w:p>
    <w:p>
      <w:pPr>
        <w:keepNext w:val="0"/>
        <w:keepLines w:val="0"/>
        <w:pageBreakBefore w:val="0"/>
        <w:widowControl w:val="0"/>
        <w:kinsoku/>
        <w:wordWrap/>
        <w:overflowPunct/>
        <w:topLinePunct w:val="0"/>
        <w:bidi w:val="0"/>
        <w:adjustRightInd w:val="0"/>
        <w:snapToGrid w:val="0"/>
        <w:spacing w:line="560" w:lineRule="exact"/>
        <w:textAlignment w:val="auto"/>
        <w:rPr>
          <w:rFonts w:hint="eastAsia" w:ascii="仿宋_GB2312" w:hAnsi="仿宋_GB2312" w:eastAsia="仿宋_GB2312" w:cs="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01" w:bottom="1440" w:left="1701" w:header="851" w:footer="992" w:gutter="0"/>
          <w:pgNumType w:start="0"/>
          <w:cols w:space="425" w:num="1"/>
          <w:titlePg/>
          <w:docGrid w:linePitch="435" w:charSpace="0"/>
        </w:sectPr>
      </w:pPr>
    </w:p>
    <w:p>
      <w:pPr>
        <w:keepNext w:val="0"/>
        <w:keepLines w:val="0"/>
        <w:pageBreakBefore w:val="0"/>
        <w:widowControl w:val="0"/>
        <w:kinsoku/>
        <w:wordWrap/>
        <w:overflowPunct/>
        <w:topLinePunct w:val="0"/>
        <w:bidi w:val="0"/>
        <w:spacing w:line="560" w:lineRule="exact"/>
        <w:ind w:firstLine="156" w:firstLineChars="49"/>
        <w:jc w:val="left"/>
        <w:textAlignment w:val="auto"/>
        <w:outlineLvl w:val="0"/>
        <w:rPr>
          <w:rFonts w:ascii="宋体"/>
          <w:b/>
          <w:sz w:val="36"/>
          <w:szCs w:val="36"/>
        </w:rPr>
      </w:pPr>
      <w:bookmarkStart w:id="0" w:name="_GoBack"/>
      <w:bookmarkEnd w:id="0"/>
      <w:r>
        <w:rPr>
          <w:rFonts w:ascii="??_GB2312" w:eastAsia="Times New Roman"/>
          <w:sz w:val="32"/>
          <w:szCs w:val="32"/>
        </w:rPr>
        <w:t xml:space="preserve">   </w:t>
      </w:r>
      <w:r>
        <w:rPr>
          <w:rFonts w:hint="eastAsia" w:ascii="宋体" w:hAnsi="宋体"/>
          <w:b/>
          <w:sz w:val="36"/>
          <w:szCs w:val="36"/>
        </w:rPr>
        <w:t>关于</w:t>
      </w:r>
      <w:r>
        <w:rPr>
          <w:rFonts w:ascii="宋体" w:hAnsi="宋体"/>
          <w:b/>
          <w:sz w:val="36"/>
          <w:szCs w:val="36"/>
        </w:rPr>
        <w:t>2018</w:t>
      </w:r>
      <w:r>
        <w:rPr>
          <w:rFonts w:hint="eastAsia" w:ascii="宋体" w:hAnsi="宋体"/>
          <w:b/>
          <w:sz w:val="36"/>
          <w:szCs w:val="36"/>
        </w:rPr>
        <w:t>年城乡一体化示范区社会保险基金</w:t>
      </w:r>
    </w:p>
    <w:p>
      <w:pPr>
        <w:keepNext w:val="0"/>
        <w:keepLines w:val="0"/>
        <w:pageBreakBefore w:val="0"/>
        <w:widowControl w:val="0"/>
        <w:kinsoku/>
        <w:wordWrap/>
        <w:overflowPunct/>
        <w:topLinePunct w:val="0"/>
        <w:bidi w:val="0"/>
        <w:spacing w:line="560" w:lineRule="exact"/>
        <w:jc w:val="center"/>
        <w:textAlignment w:val="auto"/>
        <w:outlineLvl w:val="0"/>
        <w:rPr>
          <w:rFonts w:ascii="宋体"/>
          <w:b/>
          <w:sz w:val="36"/>
          <w:szCs w:val="36"/>
        </w:rPr>
      </w:pPr>
      <w:r>
        <w:rPr>
          <w:rFonts w:hint="eastAsia" w:ascii="宋体" w:hAnsi="宋体"/>
          <w:b/>
          <w:sz w:val="36"/>
          <w:szCs w:val="36"/>
        </w:rPr>
        <w:t>收支预算情况的说明</w:t>
      </w:r>
    </w:p>
    <w:p>
      <w:pPr>
        <w:keepNext w:val="0"/>
        <w:keepLines w:val="0"/>
        <w:pageBreakBefore w:val="0"/>
        <w:widowControl w:val="0"/>
        <w:kinsoku/>
        <w:wordWrap/>
        <w:overflowPunct/>
        <w:topLinePunct w:val="0"/>
        <w:bidi w:val="0"/>
        <w:snapToGrid w:val="0"/>
        <w:spacing w:line="560" w:lineRule="exact"/>
        <w:ind w:firstLine="615"/>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snapToGrid w:val="0"/>
        <w:spacing w:line="560" w:lineRule="exact"/>
        <w:ind w:firstLine="61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一、编制原则</w:t>
      </w:r>
    </w:p>
    <w:p>
      <w:pPr>
        <w:keepNext w:val="0"/>
        <w:keepLines w:val="0"/>
        <w:pageBreakBefore w:val="0"/>
        <w:widowControl w:val="0"/>
        <w:kinsoku/>
        <w:wordWrap/>
        <w:overflowPunct/>
        <w:topLinePunct w:val="0"/>
        <w:bidi w:val="0"/>
        <w:snapToGrid w:val="0"/>
        <w:spacing w:line="560" w:lineRule="exact"/>
        <w:ind w:firstLine="615"/>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社会保险基金预算单独编报，与一般公共预算、政府性基金预算和国有资本经营预算相对独立，有机衔接。编制的总体原则是“统筹兼顾、收支平衡”。</w:t>
      </w:r>
      <w:r>
        <w:rPr>
          <w:rFonts w:hint="eastAsia" w:ascii="仿宋_GB2312" w:hAnsi="仿宋_GB2312" w:eastAsia="仿宋_GB2312" w:cs="仿宋_GB2312"/>
          <w:kern w:val="0"/>
          <w:sz w:val="32"/>
          <w:szCs w:val="32"/>
        </w:rPr>
        <w:t>根据各项社会保险统筹模式特点，企业职工基本养老保险按照“略有结余”的原则编制；城镇职工基本医疗、失业、工伤、生育保险按照“以支定收、收支平衡”的原则编制。</w:t>
      </w:r>
    </w:p>
    <w:p>
      <w:pPr>
        <w:keepNext w:val="0"/>
        <w:keepLines w:val="0"/>
        <w:pageBreakBefore w:val="0"/>
        <w:widowControl w:val="0"/>
        <w:kinsoku/>
        <w:wordWrap/>
        <w:overflowPunct/>
        <w:topLinePunct w:val="0"/>
        <w:bidi w:val="0"/>
        <w:snapToGrid w:val="0"/>
        <w:spacing w:line="560" w:lineRule="exact"/>
        <w:ind w:firstLine="615"/>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二、编报范围</w:t>
      </w:r>
    </w:p>
    <w:p>
      <w:pPr>
        <w:keepNext w:val="0"/>
        <w:keepLines w:val="0"/>
        <w:pageBreakBefore w:val="0"/>
        <w:widowControl w:val="0"/>
        <w:kinsoku/>
        <w:wordWrap/>
        <w:overflowPunct/>
        <w:topLinePunct w:val="0"/>
        <w:bidi w:val="0"/>
        <w:snapToGrid w:val="0"/>
        <w:spacing w:line="560" w:lineRule="exact"/>
        <w:ind w:firstLine="615"/>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2018年，社会保险基金预算编制范围包括机关事业单位基本养老保险基金、城镇职工基本医疗保险基金和生育保险基金。</w:t>
      </w:r>
    </w:p>
    <w:p>
      <w:pPr>
        <w:keepNext w:val="0"/>
        <w:keepLines w:val="0"/>
        <w:pageBreakBefore w:val="0"/>
        <w:widowControl w:val="0"/>
        <w:kinsoku/>
        <w:wordWrap/>
        <w:overflowPunct/>
        <w:topLinePunct w:val="0"/>
        <w:bidi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三、收入预算编制情况</w:t>
      </w:r>
    </w:p>
    <w:p>
      <w:pPr>
        <w:keepNext w:val="0"/>
        <w:keepLines w:val="0"/>
        <w:pageBreakBefore w:val="0"/>
        <w:widowControl w:val="0"/>
        <w:kinsoku/>
        <w:wordWrap/>
        <w:overflowPunct/>
        <w:topLinePunct w:val="0"/>
        <w:bidi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社会保险基金预算收入主要包括保险缴费收入、财政补贴收入、利息收入、上级补助收入、转移收入和其他收入。2018年社会保险基金预算收入5726万元。各项保险基金收入情况是：</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1、城乡居民基本养老保险基金收入1446万元，其中：个人缴费收入268万元，利息收入103万元，财政补贴收入1075万元。</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2、城乡居民基本医疗保险基金收入4280万元，其中：基本医疗保险费收入1152万元，利息收入56万元，财政补贴收入3072万元</w:t>
      </w:r>
    </w:p>
    <w:p>
      <w:pPr>
        <w:keepNext w:val="0"/>
        <w:keepLines w:val="0"/>
        <w:pageBreakBefore w:val="0"/>
        <w:widowControl w:val="0"/>
        <w:kinsoku/>
        <w:wordWrap/>
        <w:overflowPunct/>
        <w:topLinePunct w:val="0"/>
        <w:bidi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四、支出预算编制情况</w:t>
      </w:r>
    </w:p>
    <w:p>
      <w:pPr>
        <w:keepNext w:val="0"/>
        <w:keepLines w:val="0"/>
        <w:pageBreakBefore w:val="0"/>
        <w:widowControl w:val="0"/>
        <w:kinsoku/>
        <w:wordWrap/>
        <w:overflowPunct/>
        <w:topLinePunct w:val="0"/>
        <w:bidi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2018年社会保险基金支出5138万元。各项保险基金支出情况是： </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1、城乡居民基本养老保险基金支出980万元。</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2、城乡居民基本医疗保险基金支出4158万元。</w:t>
      </w:r>
    </w:p>
    <w:p>
      <w:pPr>
        <w:keepNext w:val="0"/>
        <w:keepLines w:val="0"/>
        <w:pageBreakBefore w:val="0"/>
        <w:widowControl w:val="0"/>
        <w:kinsoku/>
        <w:wordWrap/>
        <w:overflowPunct/>
        <w:topLinePunct w:val="0"/>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spacing w:line="560" w:lineRule="exact"/>
        <w:textAlignment w:val="auto"/>
      </w:pPr>
    </w:p>
    <w:sectPr>
      <w:headerReference r:id="rId9" w:type="default"/>
      <w:footerReference r:id="rId10" w:type="default"/>
      <w:footerReference r:id="rId11" w:type="even"/>
      <w:pgSz w:w="11906" w:h="16838"/>
      <w:pgMar w:top="1440" w:right="1701" w:bottom="1440" w:left="1701" w:header="851" w:footer="992" w:gutter="0"/>
      <w:pgNumType w:start="0"/>
      <w:cols w:space="425" w:num="1"/>
      <w:titlePg/>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文星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8"/>
      </w:rPr>
    </w:pPr>
  </w:p>
  <w:p>
    <w:pPr>
      <w:pStyle w:val="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696"/>
    <w:rsid w:val="00013E0A"/>
    <w:rsid w:val="000906CD"/>
    <w:rsid w:val="001A48ED"/>
    <w:rsid w:val="001D4660"/>
    <w:rsid w:val="001F5E46"/>
    <w:rsid w:val="00235A7C"/>
    <w:rsid w:val="002579D4"/>
    <w:rsid w:val="00282E27"/>
    <w:rsid w:val="00347584"/>
    <w:rsid w:val="0038691D"/>
    <w:rsid w:val="003B64DF"/>
    <w:rsid w:val="004B3814"/>
    <w:rsid w:val="004C135E"/>
    <w:rsid w:val="004D5503"/>
    <w:rsid w:val="004E1CCC"/>
    <w:rsid w:val="004F25D2"/>
    <w:rsid w:val="004F5255"/>
    <w:rsid w:val="00504FF6"/>
    <w:rsid w:val="00525516"/>
    <w:rsid w:val="005561A0"/>
    <w:rsid w:val="0074380C"/>
    <w:rsid w:val="007E11E0"/>
    <w:rsid w:val="00803F1E"/>
    <w:rsid w:val="00805A34"/>
    <w:rsid w:val="0082511D"/>
    <w:rsid w:val="008C0D4C"/>
    <w:rsid w:val="00926755"/>
    <w:rsid w:val="00964B8D"/>
    <w:rsid w:val="00A24BF6"/>
    <w:rsid w:val="00A72014"/>
    <w:rsid w:val="00A7721F"/>
    <w:rsid w:val="00A82FA8"/>
    <w:rsid w:val="00AC77B4"/>
    <w:rsid w:val="00B024A8"/>
    <w:rsid w:val="00B35F48"/>
    <w:rsid w:val="00B51CDA"/>
    <w:rsid w:val="00BB7458"/>
    <w:rsid w:val="00BE2869"/>
    <w:rsid w:val="00C55D27"/>
    <w:rsid w:val="00C61A60"/>
    <w:rsid w:val="00C70EE2"/>
    <w:rsid w:val="00CA72B1"/>
    <w:rsid w:val="00CD3034"/>
    <w:rsid w:val="00CE16CF"/>
    <w:rsid w:val="00E96696"/>
    <w:rsid w:val="00EB3F21"/>
    <w:rsid w:val="00F01BEE"/>
    <w:rsid w:val="00F20569"/>
    <w:rsid w:val="032D15E0"/>
    <w:rsid w:val="0EB300FB"/>
    <w:rsid w:val="1AD56A85"/>
    <w:rsid w:val="21C0740D"/>
    <w:rsid w:val="21F63C87"/>
    <w:rsid w:val="28C26554"/>
    <w:rsid w:val="2B6F7D31"/>
    <w:rsid w:val="2BF7098B"/>
    <w:rsid w:val="2C5004F8"/>
    <w:rsid w:val="2C9A5606"/>
    <w:rsid w:val="347321BB"/>
    <w:rsid w:val="36E942D2"/>
    <w:rsid w:val="377611A6"/>
    <w:rsid w:val="3D5750EE"/>
    <w:rsid w:val="40630F7D"/>
    <w:rsid w:val="41256332"/>
    <w:rsid w:val="41E26A05"/>
    <w:rsid w:val="48FC38DA"/>
    <w:rsid w:val="4B13422A"/>
    <w:rsid w:val="4E8B3C86"/>
    <w:rsid w:val="4F5701A4"/>
    <w:rsid w:val="4FE576FF"/>
    <w:rsid w:val="5226656F"/>
    <w:rsid w:val="53977D21"/>
    <w:rsid w:val="54DC67E1"/>
    <w:rsid w:val="5785493B"/>
    <w:rsid w:val="58AA490C"/>
    <w:rsid w:val="5A3E3E54"/>
    <w:rsid w:val="5B013E1B"/>
    <w:rsid w:val="5B2F6B6C"/>
    <w:rsid w:val="64773AE9"/>
    <w:rsid w:val="68B92298"/>
    <w:rsid w:val="6DB6735F"/>
    <w:rsid w:val="718214E4"/>
    <w:rsid w:val="7ADF204F"/>
    <w:rsid w:val="7E667A9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1"/>
    <w:qFormat/>
    <w:uiPriority w:val="99"/>
    <w:rPr>
      <w:rFonts w:ascii="宋体"/>
      <w:sz w:val="18"/>
      <w:szCs w:val="18"/>
    </w:rPr>
  </w:style>
  <w:style w:type="paragraph" w:styleId="3">
    <w:name w:val="annotation text"/>
    <w:basedOn w:val="1"/>
    <w:link w:val="12"/>
    <w:qFormat/>
    <w:uiPriority w:val="99"/>
    <w:pPr>
      <w:jc w:val="left"/>
    </w:pPr>
  </w:style>
  <w:style w:type="paragraph" w:styleId="4">
    <w:name w:val="Balloon Text"/>
    <w:basedOn w:val="1"/>
    <w:link w:val="13"/>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styleId="9">
    <w:name w:val="annotation reference"/>
    <w:basedOn w:val="7"/>
    <w:qFormat/>
    <w:uiPriority w:val="99"/>
    <w:rPr>
      <w:rFonts w:cs="Times New Roman"/>
      <w:sz w:val="21"/>
      <w:szCs w:val="21"/>
    </w:rPr>
  </w:style>
  <w:style w:type="character" w:customStyle="1" w:styleId="11">
    <w:name w:val="Document Map Char"/>
    <w:basedOn w:val="7"/>
    <w:link w:val="2"/>
    <w:qFormat/>
    <w:locked/>
    <w:uiPriority w:val="99"/>
    <w:rPr>
      <w:rFonts w:ascii="宋体" w:hAnsi="Times New Roman" w:eastAsia="宋体" w:cs="Times New Roman"/>
      <w:sz w:val="18"/>
      <w:szCs w:val="18"/>
    </w:rPr>
  </w:style>
  <w:style w:type="character" w:customStyle="1" w:styleId="12">
    <w:name w:val="Comment Text Char"/>
    <w:basedOn w:val="7"/>
    <w:link w:val="3"/>
    <w:qFormat/>
    <w:locked/>
    <w:uiPriority w:val="99"/>
    <w:rPr>
      <w:rFonts w:ascii="Times New Roman" w:hAnsi="Times New Roman" w:eastAsia="宋体" w:cs="Times New Roman"/>
      <w:sz w:val="24"/>
      <w:szCs w:val="24"/>
    </w:rPr>
  </w:style>
  <w:style w:type="character" w:customStyle="1" w:styleId="13">
    <w:name w:val="Balloon Text Char"/>
    <w:basedOn w:val="7"/>
    <w:link w:val="4"/>
    <w:qFormat/>
    <w:locked/>
    <w:uiPriority w:val="99"/>
    <w:rPr>
      <w:rFonts w:ascii="Times New Roman" w:hAnsi="Times New Roman" w:eastAsia="宋体" w:cs="Times New Roman"/>
      <w:sz w:val="18"/>
      <w:szCs w:val="18"/>
    </w:rPr>
  </w:style>
  <w:style w:type="character" w:customStyle="1" w:styleId="14">
    <w:name w:val="Footer Char"/>
    <w:basedOn w:val="7"/>
    <w:link w:val="5"/>
    <w:semiHidden/>
    <w:qFormat/>
    <w:locked/>
    <w:uiPriority w:val="99"/>
    <w:rPr>
      <w:rFonts w:cs="Times New Roman"/>
      <w:sz w:val="18"/>
      <w:szCs w:val="18"/>
    </w:rPr>
  </w:style>
  <w:style w:type="character" w:customStyle="1" w:styleId="15">
    <w:name w:val="Header Char"/>
    <w:basedOn w:val="7"/>
    <w:link w:val="6"/>
    <w:semiHidden/>
    <w:qFormat/>
    <w:locked/>
    <w:uiPriority w:val="99"/>
    <w:rPr>
      <w:rFonts w:cs="Times New Roman"/>
      <w:sz w:val="18"/>
      <w:szCs w:val="18"/>
    </w:rPr>
  </w:style>
  <w:style w:type="paragraph" w:customStyle="1" w:styleId="16">
    <w:name w:val="Char Char Char Char Char Char Char"/>
    <w:basedOn w:val="1"/>
    <w:qFormat/>
    <w:uiPriority w:val="99"/>
    <w:rPr>
      <w:szCs w:val="21"/>
    </w:rPr>
  </w:style>
  <w:style w:type="paragraph" w:customStyle="1" w:styleId="17">
    <w:name w:val="Char Char3 Char Char Char Char"/>
    <w:basedOn w:val="1"/>
    <w:qFormat/>
    <w:uiPriority w:val="99"/>
    <w:rPr>
      <w:szCs w:val="21"/>
    </w:rPr>
  </w:style>
  <w:style w:type="paragraph" w:customStyle="1" w:styleId="18">
    <w:name w:val="默认段落字体 Para Char Char Char Char"/>
    <w:basedOn w:val="1"/>
    <w:qFormat/>
    <w:uiPriority w:val="99"/>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13</Pages>
  <Words>701</Words>
  <Characters>4001</Characters>
  <Lines>0</Lines>
  <Paragraphs>0</Paragraphs>
  <TotalTime>7</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2018-01-22T00:55:00Z</dcterms:created>
  <dc:creator>潘晓琳</dc:creator>
  <cp:lastModifiedBy>Administrator</cp:lastModifiedBy>
  <cp:lastPrinted>2018-03-22T03:03:00Z</cp:lastPrinted>
  <dcterms:modified xsi:type="dcterms:W3CDTF">2018-10-11T01:03:31Z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