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outlineLvl w:val="0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关于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2017</w:t>
      </w:r>
      <w:r>
        <w:rPr>
          <w:rFonts w:hint="eastAsia" w:ascii="宋体" w:hAnsi="宋体"/>
          <w:b/>
          <w:sz w:val="36"/>
          <w:szCs w:val="36"/>
        </w:rPr>
        <w:t>年</w:t>
      </w:r>
      <w:r>
        <w:rPr>
          <w:rFonts w:hint="eastAsia" w:ascii="宋体" w:hAnsi="宋体"/>
          <w:b/>
          <w:sz w:val="36"/>
          <w:szCs w:val="36"/>
          <w:lang w:eastAsia="zh-CN"/>
        </w:rPr>
        <w:t>城乡一体化示范区</w:t>
      </w:r>
      <w:r>
        <w:rPr>
          <w:rFonts w:hint="eastAsia" w:ascii="宋体" w:hAnsi="宋体"/>
          <w:b/>
          <w:sz w:val="36"/>
          <w:szCs w:val="36"/>
        </w:rPr>
        <w:t>一般公共预算收入执行情况的说明</w:t>
      </w:r>
    </w:p>
    <w:p>
      <w:pPr>
        <w:spacing w:line="580" w:lineRule="exact"/>
        <w:jc w:val="center"/>
        <w:rPr>
          <w:rFonts w:hint="eastAsia" w:ascii="宋体" w:hAnsi="宋体"/>
          <w:b/>
          <w:sz w:val="36"/>
          <w:szCs w:val="36"/>
        </w:rPr>
      </w:pPr>
    </w:p>
    <w:p>
      <w:pPr>
        <w:spacing w:line="580" w:lineRule="exact"/>
        <w:ind w:firstLine="640" w:firstLineChars="200"/>
        <w:rPr>
          <w:rFonts w:hint="eastAsia" w:ascii="仿宋_GB2312" w:hAnsi="文星仿宋" w:eastAsia="仿宋_GB2312"/>
          <w:sz w:val="32"/>
          <w:szCs w:val="30"/>
        </w:rPr>
      </w:pPr>
      <w:r>
        <w:rPr>
          <w:rFonts w:hint="eastAsia" w:ascii="仿宋_GB2312" w:hAnsi="文星仿宋" w:eastAsia="仿宋_GB2312"/>
          <w:sz w:val="32"/>
          <w:szCs w:val="30"/>
        </w:rPr>
        <w:t>经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市</w:t>
      </w:r>
      <w:r>
        <w:rPr>
          <w:rFonts w:hint="eastAsia" w:ascii="仿宋_GB2312" w:hAnsi="文星仿宋" w:eastAsia="仿宋_GB2312"/>
          <w:sz w:val="32"/>
          <w:szCs w:val="30"/>
        </w:rPr>
        <w:t>十届人大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四</w:t>
      </w:r>
      <w:r>
        <w:rPr>
          <w:rFonts w:hint="eastAsia" w:ascii="仿宋_GB2312" w:hAnsi="文星仿宋" w:eastAsia="仿宋_GB2312"/>
          <w:sz w:val="32"/>
          <w:szCs w:val="30"/>
        </w:rPr>
        <w:t>次会议批准，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2017</w:t>
      </w:r>
      <w:r>
        <w:rPr>
          <w:rFonts w:hint="eastAsia" w:ascii="仿宋_GB2312" w:hAnsi="文星仿宋" w:eastAsia="仿宋_GB2312"/>
          <w:sz w:val="32"/>
          <w:szCs w:val="30"/>
        </w:rPr>
        <w:t>年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城乡一体化示范区</w:t>
      </w:r>
      <w:r>
        <w:rPr>
          <w:rFonts w:hint="eastAsia" w:ascii="仿宋_GB2312" w:hAnsi="文星仿宋" w:eastAsia="仿宋_GB2312"/>
          <w:sz w:val="32"/>
          <w:szCs w:val="30"/>
        </w:rPr>
        <w:t>一般公共预算收入年初预算为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46000</w:t>
      </w:r>
      <w:r>
        <w:rPr>
          <w:rFonts w:hint="eastAsia" w:ascii="仿宋_GB2312" w:hAnsi="文星仿宋" w:eastAsia="仿宋_GB2312"/>
          <w:sz w:val="32"/>
          <w:szCs w:val="30"/>
        </w:rPr>
        <w:t>元，实际完成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46641万元</w:t>
      </w:r>
      <w:r>
        <w:rPr>
          <w:rFonts w:ascii="仿宋_GB2312" w:hAnsi="文星仿宋" w:eastAsia="仿宋_GB2312"/>
          <w:sz w:val="32"/>
          <w:szCs w:val="30"/>
        </w:rPr>
        <w:t>元，</w:t>
      </w:r>
      <w:r>
        <w:rPr>
          <w:rFonts w:hint="eastAsia" w:ascii="仿宋_GB2312" w:hAnsi="文星仿宋" w:eastAsia="仿宋_GB2312"/>
          <w:sz w:val="32"/>
          <w:szCs w:val="30"/>
        </w:rPr>
        <w:t>为预算的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101.4</w:t>
      </w:r>
      <w:r>
        <w:rPr>
          <w:rFonts w:hint="eastAsia" w:ascii="仿宋_GB2312" w:hAnsi="文星仿宋" w:eastAsia="仿宋_GB2312"/>
          <w:sz w:val="32"/>
          <w:szCs w:val="30"/>
        </w:rPr>
        <w:t>%，比上年增加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5223万</w:t>
      </w:r>
      <w:r>
        <w:rPr>
          <w:rFonts w:hint="eastAsia" w:ascii="仿宋_GB2312" w:hAnsi="文星仿宋" w:eastAsia="仿宋_GB2312"/>
          <w:sz w:val="32"/>
          <w:szCs w:val="30"/>
        </w:rPr>
        <w:t>元，增长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12.6</w:t>
      </w:r>
      <w:r>
        <w:rPr>
          <w:rFonts w:hint="eastAsia" w:ascii="仿宋_GB2312" w:hAnsi="文星仿宋" w:eastAsia="仿宋_GB2312"/>
          <w:sz w:val="32"/>
          <w:szCs w:val="30"/>
        </w:rPr>
        <w:t>%。其中：税收收入完成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44960</w:t>
      </w:r>
      <w:r>
        <w:rPr>
          <w:rFonts w:hint="eastAsia" w:ascii="仿宋_GB2312" w:hAnsi="文星仿宋" w:eastAsia="仿宋_GB2312"/>
          <w:sz w:val="32"/>
          <w:szCs w:val="30"/>
        </w:rPr>
        <w:t>元，为预算的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102.1</w:t>
      </w:r>
      <w:r>
        <w:rPr>
          <w:rFonts w:hint="eastAsia" w:ascii="仿宋_GB2312" w:hAnsi="文星仿宋" w:eastAsia="仿宋_GB2312"/>
          <w:sz w:val="32"/>
          <w:szCs w:val="30"/>
        </w:rPr>
        <w:t>%，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增加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4666万</w:t>
      </w:r>
      <w:r>
        <w:rPr>
          <w:rFonts w:hint="eastAsia" w:ascii="仿宋_GB2312" w:hAnsi="文星仿宋" w:eastAsia="仿宋_GB2312"/>
          <w:sz w:val="32"/>
          <w:szCs w:val="30"/>
        </w:rPr>
        <w:t>元，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增长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11.6</w:t>
      </w:r>
      <w:r>
        <w:rPr>
          <w:rFonts w:hint="eastAsia" w:ascii="仿宋_GB2312" w:hAnsi="文星仿宋" w:eastAsia="仿宋_GB2312"/>
          <w:sz w:val="32"/>
          <w:szCs w:val="30"/>
        </w:rPr>
        <w:t>%；非税收入完成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1681万元</w:t>
      </w:r>
      <w:r>
        <w:rPr>
          <w:rFonts w:hint="eastAsia" w:ascii="仿宋_GB2312" w:hAnsi="文星仿宋" w:eastAsia="仿宋_GB2312"/>
          <w:sz w:val="32"/>
          <w:szCs w:val="30"/>
        </w:rPr>
        <w:t>，为预算的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85.6</w:t>
      </w:r>
      <w:r>
        <w:rPr>
          <w:rFonts w:hint="eastAsia" w:ascii="仿宋_GB2312" w:hAnsi="文星仿宋" w:eastAsia="仿宋_GB2312"/>
          <w:sz w:val="32"/>
          <w:szCs w:val="30"/>
        </w:rPr>
        <w:t>%，增加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556</w:t>
      </w:r>
      <w:r>
        <w:rPr>
          <w:rFonts w:hint="eastAsia" w:ascii="仿宋_GB2312" w:hAnsi="文星仿宋" w:eastAsia="仿宋_GB2312"/>
          <w:sz w:val="32"/>
          <w:szCs w:val="30"/>
        </w:rPr>
        <w:t>元，增长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49.5</w:t>
      </w:r>
      <w:r>
        <w:rPr>
          <w:rFonts w:hint="eastAsia" w:ascii="仿宋_GB2312" w:hAnsi="文星仿宋" w:eastAsia="仿宋_GB2312"/>
          <w:sz w:val="32"/>
          <w:szCs w:val="30"/>
        </w:rPr>
        <w:t>%。主要项目执行情况是：</w:t>
      </w:r>
    </w:p>
    <w:p>
      <w:pPr>
        <w:spacing w:line="580" w:lineRule="exact"/>
        <w:ind w:firstLine="640" w:firstLineChars="200"/>
        <w:rPr>
          <w:rFonts w:hint="eastAsia" w:ascii="仿宋_GB2312" w:hAnsi="文星仿宋" w:eastAsia="仿宋_GB2312"/>
          <w:sz w:val="32"/>
          <w:szCs w:val="30"/>
        </w:rPr>
      </w:pP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</w:t>
      </w:r>
      <w:r>
        <w:rPr>
          <w:rFonts w:hint="eastAsia" w:ascii="仿宋_GB2312" w:hAnsi="文星仿宋" w:eastAsia="仿宋_GB2312"/>
          <w:sz w:val="32"/>
          <w:szCs w:val="30"/>
        </w:rPr>
        <w:t>、增值税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11647万</w:t>
      </w:r>
      <w:r>
        <w:rPr>
          <w:rFonts w:hint="eastAsia" w:ascii="仿宋_GB2312" w:hAnsi="文星仿宋" w:eastAsia="仿宋_GB2312"/>
          <w:sz w:val="32"/>
          <w:szCs w:val="30"/>
        </w:rPr>
        <w:t>元</w:t>
      </w:r>
      <w:r>
        <w:rPr>
          <w:rFonts w:ascii="仿宋_GB2312" w:hAnsi="文星仿宋" w:eastAsia="仿宋_GB2312"/>
          <w:sz w:val="32"/>
          <w:szCs w:val="30"/>
        </w:rPr>
        <w:t>，为预算的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83.2</w:t>
      </w:r>
      <w:r>
        <w:rPr>
          <w:rFonts w:hint="eastAsia" w:ascii="仿宋_GB2312" w:hAnsi="文星仿宋" w:eastAsia="仿宋_GB2312"/>
          <w:sz w:val="32"/>
          <w:szCs w:val="30"/>
        </w:rPr>
        <w:t>%</w:t>
      </w:r>
      <w:r>
        <w:rPr>
          <w:rFonts w:ascii="仿宋_GB2312" w:hAnsi="文星仿宋" w:eastAsia="仿宋_GB2312"/>
          <w:sz w:val="32"/>
          <w:szCs w:val="30"/>
        </w:rPr>
        <w:t>，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增加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6519万</w:t>
      </w:r>
      <w:r>
        <w:rPr>
          <w:rFonts w:hint="eastAsia" w:ascii="仿宋_GB2312" w:hAnsi="文星仿宋" w:eastAsia="仿宋_GB2312"/>
          <w:sz w:val="32"/>
          <w:szCs w:val="30"/>
        </w:rPr>
        <w:t>元，增长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127.1</w:t>
      </w:r>
      <w:r>
        <w:rPr>
          <w:rFonts w:hint="eastAsia" w:ascii="仿宋_GB2312" w:hAnsi="文星仿宋" w:eastAsia="仿宋_GB2312"/>
          <w:sz w:val="32"/>
          <w:szCs w:val="30"/>
        </w:rPr>
        <w:t>%。</w:t>
      </w:r>
    </w:p>
    <w:p>
      <w:pPr>
        <w:spacing w:line="580" w:lineRule="exact"/>
        <w:ind w:firstLine="640" w:firstLineChars="200"/>
        <w:rPr>
          <w:rFonts w:hint="eastAsia" w:ascii="仿宋_GB2312" w:hAnsi="文星仿宋" w:eastAsia="仿宋_GB2312"/>
          <w:sz w:val="32"/>
          <w:szCs w:val="30"/>
        </w:rPr>
      </w:pP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2</w:t>
      </w:r>
      <w:r>
        <w:rPr>
          <w:rFonts w:hint="eastAsia" w:ascii="仿宋_GB2312" w:hAnsi="文星仿宋" w:eastAsia="仿宋_GB2312"/>
          <w:sz w:val="32"/>
          <w:szCs w:val="30"/>
        </w:rPr>
        <w:t>、企业所得税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2680</w:t>
      </w:r>
      <w:r>
        <w:rPr>
          <w:rFonts w:ascii="仿宋_GB2312" w:hAnsi="文星仿宋" w:eastAsia="仿宋_GB2312"/>
          <w:sz w:val="32"/>
          <w:szCs w:val="30"/>
        </w:rPr>
        <w:t>元，为预算的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134</w:t>
      </w:r>
      <w:r>
        <w:rPr>
          <w:rFonts w:hint="eastAsia" w:ascii="仿宋_GB2312" w:hAnsi="文星仿宋" w:eastAsia="仿宋_GB2312"/>
          <w:sz w:val="32"/>
          <w:szCs w:val="30"/>
        </w:rPr>
        <w:t>%</w:t>
      </w:r>
      <w:r>
        <w:rPr>
          <w:rFonts w:ascii="仿宋_GB2312" w:hAnsi="文星仿宋" w:eastAsia="仿宋_GB2312"/>
          <w:sz w:val="32"/>
          <w:szCs w:val="30"/>
        </w:rPr>
        <w:t>，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增加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733万元</w:t>
      </w:r>
      <w:r>
        <w:rPr>
          <w:rFonts w:hint="eastAsia" w:ascii="仿宋_GB2312" w:hAnsi="文星仿宋" w:eastAsia="仿宋_GB2312"/>
          <w:sz w:val="32"/>
          <w:szCs w:val="30"/>
        </w:rPr>
        <w:t>，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增长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37.6</w:t>
      </w:r>
      <w:r>
        <w:rPr>
          <w:rFonts w:hint="eastAsia" w:ascii="仿宋_GB2312" w:hAnsi="文星仿宋" w:eastAsia="仿宋_GB2312"/>
          <w:sz w:val="32"/>
          <w:szCs w:val="30"/>
        </w:rPr>
        <w:t>%。</w:t>
      </w:r>
    </w:p>
    <w:p>
      <w:pPr>
        <w:spacing w:line="580" w:lineRule="exact"/>
        <w:ind w:firstLine="640" w:firstLineChars="200"/>
        <w:rPr>
          <w:rFonts w:hint="eastAsia" w:ascii="仿宋_GB2312" w:hAnsi="文星仿宋" w:eastAsia="仿宋_GB2312"/>
          <w:sz w:val="32"/>
          <w:szCs w:val="30"/>
        </w:rPr>
      </w:pP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3</w:t>
      </w:r>
      <w:r>
        <w:rPr>
          <w:rFonts w:hint="eastAsia" w:ascii="仿宋_GB2312" w:hAnsi="文星仿宋" w:eastAsia="仿宋_GB2312"/>
          <w:sz w:val="32"/>
          <w:szCs w:val="30"/>
        </w:rPr>
        <w:t>、城市维护建设税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等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30562万元</w:t>
      </w:r>
      <w:r>
        <w:rPr>
          <w:rFonts w:hint="eastAsia" w:ascii="仿宋_GB2312" w:hAnsi="文星仿宋" w:eastAsia="仿宋_GB2312"/>
          <w:sz w:val="32"/>
          <w:szCs w:val="30"/>
        </w:rPr>
        <w:t>，</w:t>
      </w:r>
      <w:r>
        <w:rPr>
          <w:rFonts w:ascii="仿宋_GB2312" w:hAnsi="文星仿宋" w:eastAsia="仿宋_GB2312"/>
          <w:sz w:val="32"/>
          <w:szCs w:val="30"/>
        </w:rPr>
        <w:t>为预算的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109</w:t>
      </w:r>
      <w:r>
        <w:rPr>
          <w:rFonts w:hint="eastAsia" w:ascii="仿宋_GB2312" w:hAnsi="文星仿宋" w:eastAsia="仿宋_GB2312"/>
          <w:sz w:val="32"/>
          <w:szCs w:val="30"/>
        </w:rPr>
        <w:t>%</w:t>
      </w:r>
      <w:r>
        <w:rPr>
          <w:rFonts w:ascii="仿宋_GB2312" w:hAnsi="文星仿宋" w:eastAsia="仿宋_GB2312"/>
          <w:sz w:val="32"/>
          <w:szCs w:val="30"/>
        </w:rPr>
        <w:t>，</w:t>
      </w:r>
      <w:r>
        <w:rPr>
          <w:rFonts w:hint="eastAsia" w:ascii="仿宋_GB2312" w:hAnsi="文星仿宋" w:eastAsia="仿宋_GB2312"/>
          <w:sz w:val="32"/>
          <w:szCs w:val="30"/>
        </w:rPr>
        <w:t>增加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281万元</w:t>
      </w:r>
      <w:r>
        <w:rPr>
          <w:rFonts w:hint="eastAsia" w:ascii="仿宋_GB2312" w:hAnsi="文星仿宋" w:eastAsia="仿宋_GB2312"/>
          <w:sz w:val="32"/>
          <w:szCs w:val="30"/>
        </w:rPr>
        <w:t>，增长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0.9</w:t>
      </w:r>
      <w:r>
        <w:rPr>
          <w:rFonts w:hint="eastAsia" w:ascii="仿宋_GB2312" w:hAnsi="文星仿宋" w:eastAsia="仿宋_GB2312"/>
          <w:sz w:val="32"/>
          <w:szCs w:val="30"/>
        </w:rPr>
        <w:t>%。</w:t>
      </w:r>
    </w:p>
    <w:p>
      <w:pPr>
        <w:spacing w:line="580" w:lineRule="exact"/>
        <w:ind w:firstLine="640" w:firstLineChars="200"/>
        <w:rPr>
          <w:rFonts w:hint="eastAsia" w:ascii="仿宋_GB2312" w:hAnsi="文星仿宋" w:eastAsia="仿宋_GB2312"/>
          <w:sz w:val="32"/>
          <w:szCs w:val="30"/>
        </w:rPr>
      </w:pP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4</w:t>
      </w:r>
      <w:r>
        <w:rPr>
          <w:rFonts w:hint="eastAsia" w:ascii="仿宋_GB2312" w:hAnsi="文星仿宋" w:eastAsia="仿宋_GB2312"/>
          <w:sz w:val="32"/>
          <w:szCs w:val="30"/>
        </w:rPr>
        <w:t>、专项收入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719万元</w:t>
      </w:r>
      <w:r>
        <w:rPr>
          <w:rFonts w:ascii="仿宋_GB2312" w:hAnsi="文星仿宋" w:eastAsia="仿宋_GB2312"/>
          <w:sz w:val="32"/>
          <w:szCs w:val="30"/>
        </w:rPr>
        <w:t>，为预算的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51.4</w:t>
      </w:r>
      <w:r>
        <w:rPr>
          <w:rFonts w:hint="eastAsia" w:ascii="仿宋_GB2312" w:hAnsi="文星仿宋" w:eastAsia="仿宋_GB2312"/>
          <w:sz w:val="32"/>
          <w:szCs w:val="30"/>
        </w:rPr>
        <w:t>%</w:t>
      </w:r>
      <w:r>
        <w:rPr>
          <w:rFonts w:ascii="仿宋_GB2312" w:hAnsi="文星仿宋" w:eastAsia="仿宋_GB2312"/>
          <w:sz w:val="32"/>
          <w:szCs w:val="30"/>
        </w:rPr>
        <w:t>，</w:t>
      </w:r>
      <w:r>
        <w:rPr>
          <w:rFonts w:hint="eastAsia" w:ascii="仿宋_GB2312" w:hAnsi="文星仿宋" w:eastAsia="仿宋_GB2312"/>
          <w:sz w:val="32"/>
          <w:szCs w:val="30"/>
        </w:rPr>
        <w:t>增加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47万元</w:t>
      </w:r>
      <w:r>
        <w:rPr>
          <w:rFonts w:hint="eastAsia" w:ascii="仿宋_GB2312" w:hAnsi="文星仿宋" w:eastAsia="仿宋_GB2312"/>
          <w:sz w:val="32"/>
          <w:szCs w:val="30"/>
        </w:rPr>
        <w:t>，增长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7</w:t>
      </w:r>
      <w:r>
        <w:rPr>
          <w:rFonts w:hint="eastAsia" w:ascii="仿宋_GB2312" w:hAnsi="文星仿宋" w:eastAsia="仿宋_GB2312"/>
          <w:sz w:val="32"/>
          <w:szCs w:val="30"/>
        </w:rPr>
        <w:t>%。</w:t>
      </w:r>
    </w:p>
    <w:p>
      <w:pPr>
        <w:spacing w:line="580" w:lineRule="exact"/>
        <w:ind w:firstLine="640" w:firstLineChars="200"/>
        <w:rPr>
          <w:rFonts w:hint="eastAsia" w:ascii="仿宋_GB2312" w:hAnsi="文星仿宋" w:eastAsia="仿宋_GB2312"/>
          <w:sz w:val="32"/>
          <w:szCs w:val="30"/>
        </w:rPr>
      </w:pP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5</w:t>
      </w:r>
      <w:r>
        <w:rPr>
          <w:rFonts w:hint="eastAsia" w:ascii="仿宋_GB2312" w:hAnsi="文星仿宋" w:eastAsia="仿宋_GB2312"/>
          <w:sz w:val="32"/>
          <w:szCs w:val="30"/>
        </w:rPr>
        <w:t>、行政事业性收费收入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539万元</w:t>
      </w:r>
      <w:r>
        <w:rPr>
          <w:rFonts w:ascii="仿宋_GB2312" w:hAnsi="文星仿宋" w:eastAsia="仿宋_GB2312"/>
          <w:sz w:val="32"/>
          <w:szCs w:val="30"/>
        </w:rPr>
        <w:t>，为预算的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185.9</w:t>
      </w:r>
      <w:r>
        <w:rPr>
          <w:rFonts w:hint="eastAsia" w:ascii="仿宋_GB2312" w:hAnsi="文星仿宋" w:eastAsia="仿宋_GB2312"/>
          <w:sz w:val="32"/>
          <w:szCs w:val="30"/>
        </w:rPr>
        <w:t>%</w:t>
      </w:r>
      <w:r>
        <w:rPr>
          <w:rFonts w:ascii="仿宋_GB2312" w:hAnsi="文星仿宋" w:eastAsia="仿宋_GB2312"/>
          <w:sz w:val="32"/>
          <w:szCs w:val="30"/>
        </w:rPr>
        <w:t>，</w:t>
      </w:r>
      <w:r>
        <w:rPr>
          <w:rFonts w:hint="eastAsia" w:ascii="仿宋_GB2312" w:hAnsi="文星仿宋" w:eastAsia="仿宋_GB2312"/>
          <w:sz w:val="32"/>
          <w:szCs w:val="30"/>
        </w:rPr>
        <w:t>增加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370万元</w:t>
      </w:r>
      <w:r>
        <w:rPr>
          <w:rFonts w:hint="eastAsia" w:ascii="仿宋_GB2312" w:hAnsi="文星仿宋" w:eastAsia="仿宋_GB2312"/>
          <w:sz w:val="32"/>
          <w:szCs w:val="30"/>
        </w:rPr>
        <w:t>，增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长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218.9</w:t>
      </w:r>
      <w:r>
        <w:rPr>
          <w:rFonts w:hint="eastAsia" w:ascii="仿宋_GB2312" w:hAnsi="文星仿宋" w:eastAsia="仿宋_GB2312"/>
          <w:sz w:val="32"/>
          <w:szCs w:val="30"/>
        </w:rPr>
        <w:t>%。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主要原因是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2017年公办幼儿园保育费缴入国库。</w:t>
      </w:r>
    </w:p>
    <w:p>
      <w:pPr>
        <w:spacing w:line="580" w:lineRule="exact"/>
        <w:ind w:firstLine="640" w:firstLineChars="200"/>
        <w:rPr>
          <w:rFonts w:hint="eastAsia" w:ascii="仿宋_GB2312" w:hAnsi="文星仿宋" w:eastAsia="仿宋_GB2312"/>
          <w:sz w:val="32"/>
          <w:szCs w:val="30"/>
        </w:rPr>
      </w:pP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6</w:t>
      </w:r>
      <w:r>
        <w:rPr>
          <w:rFonts w:hint="eastAsia" w:ascii="仿宋_GB2312" w:hAnsi="文星仿宋" w:eastAsia="仿宋_GB2312"/>
          <w:sz w:val="32"/>
          <w:szCs w:val="30"/>
        </w:rPr>
        <w:t>、罚没收入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98万元</w:t>
      </w:r>
      <w:r>
        <w:rPr>
          <w:rFonts w:ascii="仿宋_GB2312" w:hAnsi="文星仿宋" w:eastAsia="仿宋_GB2312"/>
          <w:sz w:val="32"/>
          <w:szCs w:val="30"/>
        </w:rPr>
        <w:t>，为预算的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653.3</w:t>
      </w:r>
      <w:r>
        <w:rPr>
          <w:rFonts w:hint="eastAsia" w:ascii="仿宋_GB2312" w:hAnsi="文星仿宋" w:eastAsia="仿宋_GB2312"/>
          <w:sz w:val="32"/>
          <w:szCs w:val="30"/>
        </w:rPr>
        <w:t>%，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增加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85万元</w:t>
      </w:r>
      <w:r>
        <w:rPr>
          <w:rFonts w:hint="eastAsia" w:ascii="仿宋_GB2312" w:hAnsi="文星仿宋" w:eastAsia="仿宋_GB2312"/>
          <w:sz w:val="32"/>
          <w:szCs w:val="30"/>
        </w:rPr>
        <w:t>，增长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709.3</w:t>
      </w:r>
      <w:r>
        <w:rPr>
          <w:rFonts w:hint="eastAsia" w:ascii="仿宋_GB2312" w:hAnsi="文星仿宋" w:eastAsia="仿宋_GB2312"/>
          <w:sz w:val="32"/>
          <w:szCs w:val="30"/>
        </w:rPr>
        <w:t>%，主要原因是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食品药品监督和城建</w:t>
      </w:r>
      <w:r>
        <w:rPr>
          <w:rFonts w:hint="eastAsia" w:ascii="仿宋_GB2312" w:hAnsi="文星仿宋" w:eastAsia="仿宋_GB2312"/>
          <w:sz w:val="32"/>
          <w:szCs w:val="30"/>
        </w:rPr>
        <w:t>罚没收入增加较多。</w:t>
      </w:r>
    </w:p>
    <w:p>
      <w:pPr>
        <w:spacing w:line="580" w:lineRule="exact"/>
        <w:rPr>
          <w:rFonts w:hint="eastAsia" w:ascii="仿宋_GB2312" w:hAnsi="文星仿宋" w:eastAsia="仿宋_GB2312"/>
          <w:sz w:val="32"/>
          <w:szCs w:val="30"/>
        </w:rPr>
      </w:pP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 xml:space="preserve">    7</w:t>
      </w:r>
      <w:r>
        <w:rPr>
          <w:rFonts w:hint="eastAsia" w:ascii="仿宋_GB2312" w:hAnsi="文星仿宋" w:eastAsia="仿宋_GB2312"/>
          <w:sz w:val="32"/>
          <w:szCs w:val="30"/>
        </w:rPr>
        <w:t>、国有资源（资产）有偿使用收入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249万元</w:t>
      </w:r>
      <w:r>
        <w:rPr>
          <w:rFonts w:ascii="仿宋_GB2312" w:hAnsi="文星仿宋" w:eastAsia="仿宋_GB2312"/>
          <w:sz w:val="32"/>
          <w:szCs w:val="30"/>
        </w:rPr>
        <w:t>，为预算的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95.8</w:t>
      </w:r>
      <w:r>
        <w:rPr>
          <w:rFonts w:hint="eastAsia" w:ascii="仿宋_GB2312" w:hAnsi="文星仿宋" w:eastAsia="仿宋_GB2312"/>
          <w:sz w:val="32"/>
          <w:szCs w:val="30"/>
        </w:rPr>
        <w:t>%</w:t>
      </w:r>
      <w:r>
        <w:rPr>
          <w:rFonts w:ascii="仿宋_GB2312" w:hAnsi="文星仿宋" w:eastAsia="仿宋_GB2312"/>
          <w:sz w:val="32"/>
          <w:szCs w:val="30"/>
        </w:rPr>
        <w:t>，</w:t>
      </w:r>
      <w:r>
        <w:rPr>
          <w:rFonts w:hint="eastAsia" w:ascii="仿宋_GB2312" w:hAnsi="文星仿宋" w:eastAsia="仿宋_GB2312"/>
          <w:sz w:val="32"/>
          <w:szCs w:val="30"/>
        </w:rPr>
        <w:t>增加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6万</w:t>
      </w:r>
      <w:r>
        <w:rPr>
          <w:rFonts w:hint="eastAsia" w:ascii="仿宋_GB2312" w:hAnsi="文星仿宋" w:eastAsia="仿宋_GB2312"/>
          <w:sz w:val="32"/>
          <w:szCs w:val="30"/>
        </w:rPr>
        <w:t>元，增长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2.5</w:t>
      </w:r>
      <w:r>
        <w:rPr>
          <w:rFonts w:hint="eastAsia" w:ascii="仿宋_GB2312" w:hAnsi="文星仿宋" w:eastAsia="仿宋_GB2312"/>
          <w:sz w:val="32"/>
          <w:szCs w:val="30"/>
        </w:rPr>
        <w:t>%。</w:t>
      </w:r>
    </w:p>
    <w:p>
      <w:pPr>
        <w:spacing w:line="580" w:lineRule="exact"/>
        <w:jc w:val="center"/>
        <w:rPr>
          <w:rFonts w:hint="eastAsia" w:ascii="宋体" w:hAnsi="宋体"/>
          <w:b/>
          <w:sz w:val="36"/>
          <w:szCs w:val="36"/>
        </w:rPr>
      </w:pPr>
    </w:p>
    <w:p>
      <w:pPr>
        <w:spacing w:line="580" w:lineRule="exact"/>
        <w:jc w:val="center"/>
        <w:rPr>
          <w:rFonts w:hint="eastAsia" w:ascii="宋体" w:hAnsi="宋体"/>
          <w:b/>
          <w:sz w:val="36"/>
          <w:szCs w:val="36"/>
        </w:rPr>
      </w:pPr>
    </w:p>
    <w:p>
      <w:pPr>
        <w:spacing w:line="580" w:lineRule="exact"/>
        <w:jc w:val="center"/>
        <w:rPr>
          <w:rFonts w:hint="eastAsia" w:ascii="宋体" w:hAnsi="宋体"/>
          <w:b/>
          <w:sz w:val="36"/>
          <w:szCs w:val="36"/>
        </w:rPr>
      </w:pPr>
    </w:p>
    <w:p>
      <w:pPr>
        <w:ind w:left="210" w:leftChars="100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文星仿宋">
    <w:altName w:val="仿宋"/>
    <w:panose1 w:val="02010604000101010101"/>
    <w:charset w:val="86"/>
    <w:family w:val="auto"/>
    <w:pitch w:val="default"/>
    <w:sig w:usb0="00000000" w:usb1="00000000" w:usb2="00000010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A61653D"/>
    <w:rsid w:val="00007E5B"/>
    <w:rsid w:val="00017D3E"/>
    <w:rsid w:val="0002180E"/>
    <w:rsid w:val="00066DEE"/>
    <w:rsid w:val="000A4470"/>
    <w:rsid w:val="001659C9"/>
    <w:rsid w:val="001C60B3"/>
    <w:rsid w:val="002433C1"/>
    <w:rsid w:val="002949A1"/>
    <w:rsid w:val="003028B9"/>
    <w:rsid w:val="003712DF"/>
    <w:rsid w:val="00380236"/>
    <w:rsid w:val="00392D98"/>
    <w:rsid w:val="003E69B7"/>
    <w:rsid w:val="004C0C7C"/>
    <w:rsid w:val="004C7004"/>
    <w:rsid w:val="004D63EE"/>
    <w:rsid w:val="00521EEB"/>
    <w:rsid w:val="0057118B"/>
    <w:rsid w:val="00581B7C"/>
    <w:rsid w:val="00734C17"/>
    <w:rsid w:val="0077381F"/>
    <w:rsid w:val="008A15B2"/>
    <w:rsid w:val="008C14CB"/>
    <w:rsid w:val="008C1DAC"/>
    <w:rsid w:val="008E4A00"/>
    <w:rsid w:val="009471B2"/>
    <w:rsid w:val="00A61216"/>
    <w:rsid w:val="00AE13A2"/>
    <w:rsid w:val="00BB60A5"/>
    <w:rsid w:val="00BD39DF"/>
    <w:rsid w:val="00BF4C55"/>
    <w:rsid w:val="00C3733D"/>
    <w:rsid w:val="00C56F46"/>
    <w:rsid w:val="00CC3951"/>
    <w:rsid w:val="00E02430"/>
    <w:rsid w:val="00E4558B"/>
    <w:rsid w:val="00EE0014"/>
    <w:rsid w:val="00F104A3"/>
    <w:rsid w:val="00F40244"/>
    <w:rsid w:val="00F472AC"/>
    <w:rsid w:val="00F7795A"/>
    <w:rsid w:val="049A42C5"/>
    <w:rsid w:val="04CD4D1F"/>
    <w:rsid w:val="06B97D6B"/>
    <w:rsid w:val="0852440B"/>
    <w:rsid w:val="0F8775BC"/>
    <w:rsid w:val="12D84953"/>
    <w:rsid w:val="15FD629E"/>
    <w:rsid w:val="19A877AF"/>
    <w:rsid w:val="1A61653D"/>
    <w:rsid w:val="1B5D45E2"/>
    <w:rsid w:val="20A572B9"/>
    <w:rsid w:val="226D63CF"/>
    <w:rsid w:val="22BE4FF6"/>
    <w:rsid w:val="258401B3"/>
    <w:rsid w:val="25D80FCB"/>
    <w:rsid w:val="273E4ABE"/>
    <w:rsid w:val="2A42294B"/>
    <w:rsid w:val="30174F32"/>
    <w:rsid w:val="38543666"/>
    <w:rsid w:val="38B24F23"/>
    <w:rsid w:val="39267470"/>
    <w:rsid w:val="43416B59"/>
    <w:rsid w:val="4CDA38FD"/>
    <w:rsid w:val="4CEB3F70"/>
    <w:rsid w:val="4FFD0A25"/>
    <w:rsid w:val="502B38A3"/>
    <w:rsid w:val="52EA3858"/>
    <w:rsid w:val="569E25A8"/>
    <w:rsid w:val="573703E6"/>
    <w:rsid w:val="58870ECF"/>
    <w:rsid w:val="5B63192F"/>
    <w:rsid w:val="5C684BF6"/>
    <w:rsid w:val="5F494623"/>
    <w:rsid w:val="60494D0C"/>
    <w:rsid w:val="626E5A9D"/>
    <w:rsid w:val="6555223C"/>
    <w:rsid w:val="69065AF2"/>
    <w:rsid w:val="6C243E5A"/>
    <w:rsid w:val="6CE135CD"/>
    <w:rsid w:val="70B564C5"/>
    <w:rsid w:val="76DA2E29"/>
    <w:rsid w:val="7C956BC6"/>
    <w:rsid w:val="7D5D6F7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4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7">
    <w:name w:val="Footer Char"/>
    <w:basedOn w:val="4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4</Pages>
  <Words>318</Words>
  <Characters>1813</Characters>
  <Lines>0</Lines>
  <Paragraphs>0</Paragraphs>
  <TotalTime>0</TotalTime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2017-01-24T07:40:00Z</dcterms:created>
  <dc:creator>Administrator</dc:creator>
  <cp:lastModifiedBy>Administrator</cp:lastModifiedBy>
  <dcterms:modified xsi:type="dcterms:W3CDTF">2018-09-17T03:17:19Z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